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line="276" w:lineRule="auto"/>
        <w:ind w:left="-1135" w:right="-851" w:firstLine="360"/>
        <w:jc w:val="center"/>
        <w:rPr>
          <w:rFonts w:hint="default" w:ascii="Times New Roman" w:hAnsi="Times New Roman" w:eastAsia="Calibri" w:cs="Times New Roman"/>
          <w:b/>
          <w:bCs w:val="0"/>
          <w:sz w:val="32"/>
          <w:szCs w:val="32"/>
          <w:lang w:val="en-US"/>
        </w:rPr>
      </w:pPr>
      <w:r>
        <w:rPr>
          <w:rFonts w:hint="default" w:ascii="Times New Roman" w:hAnsi="Times New Roman" w:eastAsia="Calibri" w:cs="Times New Roman"/>
          <w:b/>
          <w:bCs w:val="0"/>
          <w:kern w:val="0"/>
          <w:sz w:val="32"/>
          <w:szCs w:val="32"/>
          <w:lang w:val="en-US" w:eastAsia="zh-CN" w:bidi="ar"/>
        </w:rPr>
        <w:t xml:space="preserve">PENGARUH </w:t>
      </w:r>
      <w:r>
        <w:rPr>
          <w:rFonts w:hint="default" w:ascii="Times New Roman" w:hAnsi="Times New Roman" w:eastAsia="Calibri" w:cs="Times New Roman"/>
          <w:b/>
          <w:bCs w:val="0"/>
          <w:i/>
          <w:iCs w:val="0"/>
          <w:kern w:val="0"/>
          <w:sz w:val="32"/>
          <w:szCs w:val="32"/>
          <w:lang w:val="en-US" w:eastAsia="zh-CN" w:bidi="ar"/>
        </w:rPr>
        <w:t xml:space="preserve">INVESMENT OPPORTUNITY SET, CORPORATE   </w:t>
      </w:r>
      <w:r>
        <w:rPr>
          <w:rFonts w:hint="default" w:ascii="Times New Roman" w:hAnsi="Times New Roman" w:eastAsia="Calibri" w:cs="Times New Roman"/>
          <w:b/>
          <w:bCs w:val="0"/>
          <w:i/>
          <w:iCs w:val="0"/>
          <w:kern w:val="0"/>
          <w:sz w:val="32"/>
          <w:szCs w:val="32"/>
          <w:lang w:val="en-US" w:eastAsia="zh-CN" w:bidi="ar"/>
        </w:rPr>
        <w:tab/>
        <w:t xml:space="preserve">SOCIAL RESPONBILITY </w:t>
      </w:r>
      <w:r>
        <w:rPr>
          <w:rFonts w:hint="default" w:ascii="Times New Roman" w:hAnsi="Times New Roman" w:eastAsia="Calibri" w:cs="Times New Roman"/>
          <w:b/>
          <w:bCs w:val="0"/>
          <w:kern w:val="0"/>
          <w:sz w:val="32"/>
          <w:szCs w:val="32"/>
          <w:lang w:val="en-US" w:eastAsia="zh-CN" w:bidi="ar"/>
        </w:rPr>
        <w:t>DAN RISIKO BISNIS TERHADAP</w:t>
      </w:r>
    </w:p>
    <w:p>
      <w:pPr>
        <w:keepNext w:val="0"/>
        <w:keepLines w:val="0"/>
        <w:widowControl/>
        <w:suppressLineNumbers w:val="0"/>
        <w:spacing w:before="0" w:beforeAutospacing="0" w:after="0" w:afterAutospacing="0" w:line="276" w:lineRule="auto"/>
        <w:ind w:left="-1135" w:right="-851" w:firstLine="360"/>
        <w:jc w:val="center"/>
        <w:rPr>
          <w:rFonts w:hint="default" w:ascii="Times New Roman" w:hAnsi="Times New Roman" w:eastAsia="Calibri" w:cs="Times New Roman"/>
          <w:b/>
          <w:bCs w:val="0"/>
          <w:sz w:val="32"/>
          <w:szCs w:val="32"/>
          <w:lang w:val="en-US"/>
        </w:rPr>
      </w:pPr>
      <w:r>
        <w:rPr>
          <w:rFonts w:hint="default" w:ascii="Times New Roman" w:hAnsi="Times New Roman" w:eastAsia="Calibri" w:cs="Times New Roman"/>
          <w:b/>
          <w:bCs w:val="0"/>
          <w:kern w:val="0"/>
          <w:sz w:val="32"/>
          <w:szCs w:val="32"/>
          <w:lang w:val="en-US" w:eastAsia="zh-CN" w:bidi="ar"/>
        </w:rPr>
        <w:t>NILAI PERUSAHAAN PADA SUB SEKTOR</w:t>
      </w:r>
    </w:p>
    <w:p>
      <w:pPr>
        <w:keepNext w:val="0"/>
        <w:keepLines w:val="0"/>
        <w:widowControl/>
        <w:suppressLineNumbers w:val="0"/>
        <w:spacing w:before="0" w:beforeAutospacing="0" w:after="0" w:afterAutospacing="0" w:line="276" w:lineRule="auto"/>
        <w:ind w:left="-851" w:right="-851" w:hanging="283"/>
        <w:jc w:val="center"/>
        <w:rPr>
          <w:rFonts w:hint="default" w:ascii="Times New Roman" w:hAnsi="Times New Roman" w:eastAsia="Calibri" w:cs="Times New Roman"/>
          <w:b/>
          <w:bCs w:val="0"/>
          <w:sz w:val="32"/>
          <w:szCs w:val="32"/>
          <w:lang w:val="en-US"/>
        </w:rPr>
      </w:pPr>
      <w:r>
        <w:rPr>
          <w:rFonts w:hint="default" w:ascii="Times New Roman" w:hAnsi="Times New Roman" w:eastAsia="Calibri" w:cs="Times New Roman"/>
          <w:b/>
          <w:bCs w:val="0"/>
          <w:kern w:val="0"/>
          <w:sz w:val="32"/>
          <w:szCs w:val="32"/>
          <w:lang w:val="en-US" w:eastAsia="zh-CN" w:bidi="ar"/>
        </w:rPr>
        <w:t>PERBANKAN YANG TERDAFTAR</w:t>
      </w:r>
    </w:p>
    <w:p>
      <w:pPr>
        <w:keepNext w:val="0"/>
        <w:keepLines w:val="0"/>
        <w:widowControl/>
        <w:suppressLineNumbers w:val="0"/>
        <w:spacing w:before="0" w:beforeAutospacing="0" w:after="0" w:afterAutospacing="0" w:line="276" w:lineRule="auto"/>
        <w:ind w:left="-851" w:right="-851" w:hanging="283"/>
        <w:jc w:val="center"/>
        <w:rPr>
          <w:rFonts w:hint="default" w:ascii="Times New Roman" w:hAnsi="Times New Roman" w:eastAsia="Calibri" w:cs="Times New Roman"/>
          <w:b/>
          <w:bCs w:val="0"/>
          <w:sz w:val="32"/>
          <w:szCs w:val="32"/>
          <w:lang w:val="en-US"/>
        </w:rPr>
      </w:pPr>
      <w:r>
        <w:rPr>
          <w:rFonts w:hint="default" w:ascii="Times New Roman" w:hAnsi="Times New Roman" w:eastAsia="Calibri" w:cs="Times New Roman"/>
          <w:b/>
          <w:bCs w:val="0"/>
          <w:kern w:val="0"/>
          <w:sz w:val="32"/>
          <w:szCs w:val="32"/>
          <w:lang w:val="en-US" w:eastAsia="zh-CN" w:bidi="ar"/>
        </w:rPr>
        <w:t>DI BURSA EFEK INDONESIA</w:t>
      </w:r>
    </w:p>
    <w:p>
      <w:pPr>
        <w:keepNext w:val="0"/>
        <w:keepLines w:val="0"/>
        <w:widowControl/>
        <w:suppressLineNumbers w:val="0"/>
        <w:spacing w:before="0" w:beforeAutospacing="0" w:after="0" w:afterAutospacing="0" w:line="276" w:lineRule="auto"/>
        <w:ind w:left="-851" w:right="-851" w:hanging="283"/>
        <w:jc w:val="center"/>
        <w:rPr>
          <w:rFonts w:hint="default" w:ascii="Times New Roman" w:hAnsi="Times New Roman" w:eastAsia="Calibri" w:cs="Times New Roman"/>
          <w:b/>
          <w:bCs w:val="0"/>
          <w:sz w:val="32"/>
          <w:szCs w:val="32"/>
          <w:lang w:val="en-US"/>
        </w:rPr>
      </w:pPr>
    </w:p>
    <w:p>
      <w:pPr>
        <w:keepNext w:val="0"/>
        <w:keepLines w:val="0"/>
        <w:widowControl/>
        <w:suppressLineNumbers w:val="0"/>
        <w:spacing w:before="240" w:beforeAutospacing="0" w:after="0" w:afterAutospacing="0" w:line="480" w:lineRule="auto"/>
        <w:ind w:left="0" w:right="0" w:firstLine="360"/>
        <w:jc w:val="center"/>
        <w:outlineLvl w:val="0"/>
        <w:rPr>
          <w:rFonts w:hint="default" w:ascii="Times New Roman" w:hAnsi="Times New Roman" w:eastAsia="Calibri" w:cs="Times New Roman"/>
          <w:b/>
          <w:bCs w:val="0"/>
          <w:sz w:val="24"/>
          <w:szCs w:val="24"/>
          <w:lang w:val="en-US"/>
        </w:rPr>
      </w:pPr>
      <w:r>
        <w:rPr>
          <w:rFonts w:hint="default" w:ascii="Times New Roman" w:hAnsi="Times New Roman" w:eastAsia="Times New Roman" w:cs="Times New Roman"/>
          <w:b/>
          <w:bCs w:val="0"/>
          <w:kern w:val="0"/>
          <w:sz w:val="28"/>
          <w:szCs w:val="28"/>
          <w:lang w:val="en-US" w:eastAsia="zh-CN" w:bidi="ar"/>
        </w:rPr>
        <w:t>Oleh</w:t>
      </w:r>
    </w:p>
    <w:p>
      <w:pPr>
        <w:keepNext w:val="0"/>
        <w:keepLines w:val="0"/>
        <w:widowControl/>
        <w:suppressLineNumbers w:val="0"/>
        <w:spacing w:before="0" w:beforeAutospacing="0" w:after="0" w:afterAutospacing="0" w:line="276" w:lineRule="auto"/>
        <w:ind w:left="0" w:right="0" w:firstLine="360"/>
        <w:jc w:val="center"/>
        <w:outlineLvl w:val="0"/>
        <w:rPr>
          <w:rFonts w:hint="default" w:ascii="Times New Roman" w:hAnsi="Times New Roman" w:eastAsia="Calibri"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WIDYAWATI MALANUA</w:t>
      </w:r>
    </w:p>
    <w:p>
      <w:pPr>
        <w:keepNext w:val="0"/>
        <w:keepLines w:val="0"/>
        <w:widowControl/>
        <w:suppressLineNumbers w:val="0"/>
        <w:spacing w:before="0" w:beforeAutospacing="0" w:after="0" w:afterAutospacing="0" w:line="276" w:lineRule="auto"/>
        <w:ind w:left="0" w:right="0" w:firstLine="360"/>
        <w:jc w:val="center"/>
        <w:outlineLvl w:val="0"/>
        <w:rPr>
          <w:rFonts w:hint="default" w:ascii="Times New Roman" w:hAnsi="Times New Roman" w:eastAsia="Calibri"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E.211.71.</w:t>
      </w:r>
      <w:r>
        <w:rPr>
          <w:rFonts w:hint="default" w:ascii="Times New Roman" w:hAnsi="Times New Roman" w:eastAsia="Calibri" w:cs="Times New Roman"/>
          <w:b/>
          <w:bCs w:val="0"/>
          <w:kern w:val="0"/>
          <w:sz w:val="28"/>
          <w:szCs w:val="28"/>
          <w:lang w:val="en-US" w:eastAsia="zh-CN" w:bidi="ar"/>
        </w:rPr>
        <w:t>35</w:t>
      </w:r>
    </w:p>
    <w:p>
      <w:pPr>
        <w:keepNext w:val="0"/>
        <w:keepLines w:val="0"/>
        <w:widowControl/>
        <w:suppressLineNumbers w:val="0"/>
        <w:spacing w:before="0" w:beforeAutospacing="0" w:after="0" w:afterAutospacing="0" w:line="276" w:lineRule="auto"/>
        <w:ind w:left="0" w:right="0" w:firstLine="360"/>
        <w:jc w:val="center"/>
        <w:outlineLvl w:val="0"/>
        <w:rPr>
          <w:rFonts w:hint="default" w:ascii="Times New Roman" w:hAnsi="Times New Roman" w:eastAsia="Calibri" w:cs="Times New Roman"/>
          <w:b/>
          <w:bCs w:val="0"/>
          <w:sz w:val="28"/>
          <w:szCs w:val="28"/>
          <w:lang w:val="en-US"/>
        </w:rPr>
      </w:pPr>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SKRIPSI</w:t>
      </w:r>
    </w:p>
    <w:p>
      <w:pPr>
        <w:keepNext w:val="0"/>
        <w:keepLines w:val="0"/>
        <w:widowControl/>
        <w:suppressLineNumbers w:val="0"/>
        <w:spacing w:before="0" w:beforeAutospacing="0" w:after="0" w:afterAutospacing="0" w:line="276" w:lineRule="auto"/>
        <w:ind w:left="0" w:right="0" w:firstLine="360"/>
        <w:jc w:val="center"/>
        <w:outlineLvl w:val="0"/>
        <w:rPr>
          <w:rFonts w:hint="default" w:ascii="Times New Roman" w:hAnsi="Times New Roman" w:eastAsia="Calibri" w:cs="Times New Roman"/>
          <w:sz w:val="24"/>
          <w:szCs w:val="24"/>
          <w:lang w:val="en-US"/>
        </w:rPr>
      </w:pPr>
      <w:r>
        <w:rPr>
          <w:rFonts w:hint="default" w:ascii="Times New Roman" w:hAnsi="Times New Roman" w:eastAsia="Times New Roman" w:cs="Times New Roman"/>
          <w:kern w:val="0"/>
          <w:sz w:val="24"/>
          <w:szCs w:val="24"/>
          <w:lang w:val="en-US" w:eastAsia="zh-CN" w:bidi="ar"/>
        </w:rPr>
        <w:t>Untuk Memenuhi Salah Satu Syarat Ujian</w:t>
      </w:r>
    </w:p>
    <w:p>
      <w:pPr>
        <w:keepNext w:val="0"/>
        <w:keepLines w:val="0"/>
        <w:widowControl/>
        <w:suppressLineNumbers w:val="0"/>
        <w:spacing w:before="0" w:beforeAutospacing="0" w:after="0" w:afterAutospacing="0" w:line="276" w:lineRule="auto"/>
        <w:ind w:left="0" w:right="0" w:firstLine="360"/>
        <w:jc w:val="center"/>
        <w:rPr>
          <w:rFonts w:hint="default" w:ascii="Times New Roman" w:hAnsi="Times New Roman" w:eastAsia="Calibri" w:cs="Times New Roman"/>
          <w:lang w:val="en-US"/>
        </w:rPr>
      </w:pPr>
      <w:r>
        <w:rPr>
          <w:rFonts w:hint="default" w:ascii="Times New Roman" w:hAnsi="Times New Roman" w:eastAsia="Times New Roman" w:cs="Times New Roman"/>
          <w:kern w:val="0"/>
          <w:sz w:val="24"/>
          <w:szCs w:val="24"/>
          <w:lang w:val="en-US" w:eastAsia="zh-CN" w:bidi="ar"/>
        </w:rPr>
        <w:t xml:space="preserve"> Guna Memperoleh Gelar Sarjana</w:t>
      </w:r>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bookmarkStart w:id="0" w:name="_GoBack"/>
      <w:r>
        <w:rPr>
          <w:rFonts w:hint="eastAsia" w:ascii="Calibri" w:hAnsi="Calibri" w:eastAsia="Times New Roman" w:cs="Times New Roman"/>
          <w:kern w:val="0"/>
          <w:sz w:val="22"/>
          <w:szCs w:val="22"/>
          <w:lang w:val="en-US" w:eastAsia="zh-CN" w:bidi="ar"/>
        </w:rPr>
        <w:drawing>
          <wp:anchor distT="0" distB="0" distL="114300" distR="114300" simplePos="0" relativeHeight="251659264" behindDoc="1" locked="0" layoutInCell="1" allowOverlap="1">
            <wp:simplePos x="0" y="0"/>
            <wp:positionH relativeFrom="column">
              <wp:posOffset>1649730</wp:posOffset>
            </wp:positionH>
            <wp:positionV relativeFrom="paragraph">
              <wp:posOffset>530860</wp:posOffset>
            </wp:positionV>
            <wp:extent cx="1845310" cy="1838960"/>
            <wp:effectExtent l="0" t="0" r="2540" b="8890"/>
            <wp:wrapNone/>
            <wp:docPr id="4" name="Picture 7" descr="UNIS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UNISAN 4"/>
                    <pic:cNvPicPr>
                      <a:picLocks noChangeAspect="1"/>
                    </pic:cNvPicPr>
                  </pic:nvPicPr>
                  <pic:blipFill>
                    <a:blip r:embed="rId19"/>
                    <a:stretch>
                      <a:fillRect/>
                    </a:stretch>
                  </pic:blipFill>
                  <pic:spPr>
                    <a:xfrm>
                      <a:off x="0" y="0"/>
                      <a:ext cx="1845310" cy="1838960"/>
                    </a:xfrm>
                    <a:prstGeom prst="rect">
                      <a:avLst/>
                    </a:prstGeom>
                    <a:noFill/>
                    <a:ln>
                      <a:noFill/>
                    </a:ln>
                  </pic:spPr>
                </pic:pic>
              </a:graphicData>
            </a:graphic>
          </wp:anchor>
        </w:drawing>
      </w:r>
      <w:bookmarkEnd w:id="0"/>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p>
    <w:p>
      <w:pPr>
        <w:keepNext w:val="0"/>
        <w:keepLines w:val="0"/>
        <w:widowControl/>
        <w:suppressLineNumbers w:val="0"/>
        <w:spacing w:before="240" w:beforeAutospacing="0" w:after="0" w:afterAutospacing="0" w:line="480" w:lineRule="auto"/>
        <w:ind w:left="0" w:right="0" w:firstLine="360"/>
        <w:jc w:val="center"/>
        <w:rPr>
          <w:rFonts w:hint="default" w:ascii="Times New Roman" w:hAnsi="Times New Roman" w:eastAsia="Calibri" w:cs="Times New Roman"/>
          <w:b/>
          <w:bCs w:val="0"/>
          <w:sz w:val="28"/>
          <w:szCs w:val="28"/>
          <w:lang w:val="en-US"/>
        </w:rPr>
      </w:pPr>
    </w:p>
    <w:p>
      <w:pPr>
        <w:keepNext w:val="0"/>
        <w:keepLines w:val="0"/>
        <w:widowControl/>
        <w:suppressLineNumbers w:val="0"/>
        <w:spacing w:before="0" w:beforeAutospacing="0" w:after="0" w:afterAutospacing="0" w:line="360" w:lineRule="auto"/>
        <w:ind w:left="0" w:right="0" w:firstLine="360"/>
        <w:jc w:val="center"/>
        <w:outlineLvl w:val="0"/>
        <w:rPr>
          <w:rFonts w:hint="default" w:ascii="Times New Roman" w:hAnsi="Times New Roman" w:eastAsia="Calibri"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PROGRAM SARJANA</w:t>
      </w:r>
    </w:p>
    <w:p>
      <w:pPr>
        <w:keepNext w:val="0"/>
        <w:keepLines w:val="0"/>
        <w:widowControl/>
        <w:suppressLineNumbers w:val="0"/>
        <w:spacing w:before="0" w:beforeAutospacing="0" w:after="0" w:afterAutospacing="0" w:line="360" w:lineRule="auto"/>
        <w:ind w:left="0" w:right="0" w:firstLine="360"/>
        <w:jc w:val="center"/>
        <w:rPr>
          <w:rFonts w:hint="default" w:ascii="Times New Roman" w:hAnsi="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UNIVERSITAS ICHSAN GORONTALO</w:t>
      </w:r>
    </w:p>
    <w:p>
      <w:pPr>
        <w:keepNext w:val="0"/>
        <w:keepLines w:val="0"/>
        <w:widowControl/>
        <w:suppressLineNumbers w:val="0"/>
        <w:spacing w:before="0" w:beforeAutospacing="0" w:after="0" w:afterAutospacing="0" w:line="360" w:lineRule="auto"/>
        <w:ind w:left="0" w:right="0" w:firstLine="360"/>
        <w:jc w:val="center"/>
        <w:rPr>
          <w:rFonts w:hint="default" w:ascii="Times New Roman" w:hAnsi="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GORONTALO</w:t>
      </w:r>
    </w:p>
    <w:p>
      <w:pPr>
        <w:keepNext w:val="0"/>
        <w:keepLines w:val="0"/>
        <w:widowControl/>
        <w:suppressLineNumbers w:val="0"/>
        <w:spacing w:before="0" w:beforeAutospacing="0" w:after="0" w:afterAutospacing="0" w:line="360" w:lineRule="auto"/>
        <w:ind w:left="0" w:right="0" w:firstLine="0"/>
        <w:jc w:val="center"/>
        <w:rPr>
          <w:rFonts w:hint="default" w:ascii="Times New Roman" w:hAnsi="Times New Roman" w:eastAsia="Calibri"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2021</w:t>
      </w:r>
    </w:p>
    <w:p>
      <w:pPr>
        <w:keepNext w:val="0"/>
        <w:keepLines w:val="0"/>
        <w:widowControl/>
        <w:suppressLineNumbers w:val="0"/>
        <w:spacing w:before="0" w:beforeAutospacing="0" w:after="0" w:afterAutospacing="0" w:line="480" w:lineRule="auto"/>
        <w:ind w:left="0" w:right="0" w:firstLine="360"/>
        <w:jc w:val="both"/>
        <w:rPr>
          <w:lang w:val="en-US"/>
        </w:rPr>
      </w:pPr>
    </w:p>
    <w:p>
      <w:pPr>
        <w:spacing w:line="240" w:lineRule="auto"/>
        <w:ind w:firstLine="0"/>
        <w:jc w:val="left"/>
        <w:rPr>
          <w:rFonts w:ascii="Times New Roman" w:hAnsi="Times New Roman" w:eastAsia="Times New Roman" w:cs="Times New Roman"/>
          <w:b/>
          <w:sz w:val="28"/>
          <w:szCs w:val="24"/>
          <w:lang w:val="id-ID"/>
        </w:rPr>
        <w:sectPr>
          <w:footerReference r:id="rId8" w:type="first"/>
          <w:headerReference r:id="rId5" w:type="default"/>
          <w:footerReference r:id="rId6" w:type="default"/>
          <w:footerReference r:id="rId7" w:type="even"/>
          <w:pgSz w:w="11907" w:h="16840"/>
          <w:pgMar w:top="2275" w:right="1699" w:bottom="1699" w:left="2275" w:header="1728" w:footer="1728" w:gutter="0"/>
          <w:pgNumType w:fmt="lowerRoman" w:start="1"/>
          <w:cols w:space="720" w:num="1"/>
          <w:titlePg/>
          <w:docGrid w:linePitch="360" w:charSpace="0"/>
        </w:sectPr>
      </w:pPr>
      <w:r>
        <w:drawing>
          <wp:inline distT="0" distB="0" distL="0" distR="0">
            <wp:extent cx="5037455" cy="6826250"/>
            <wp:effectExtent l="19050" t="0" r="0" b="0"/>
            <wp:docPr id="13" name="Picture 13" descr="C:\Users\Maya\AppData\Local\Microsoft\Windows\Temporary Internet Files\Content.Word\abstrak ind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aya\AppData\Local\Microsoft\Windows\Temporary Internet Files\Content.Word\abstrak indo_4.jpg"/>
                    <pic:cNvPicPr>
                      <a:picLocks noChangeAspect="1" noChangeArrowheads="1"/>
                    </pic:cNvPicPr>
                  </pic:nvPicPr>
                  <pic:blipFill>
                    <a:blip r:embed="rId20"/>
                    <a:srcRect/>
                    <a:stretch>
                      <a:fillRect/>
                    </a:stretch>
                  </pic:blipFill>
                  <pic:spPr>
                    <a:xfrm>
                      <a:off x="0" y="0"/>
                      <a:ext cx="5037455" cy="6826419"/>
                    </a:xfrm>
                    <a:prstGeom prst="rect">
                      <a:avLst/>
                    </a:prstGeom>
                    <a:noFill/>
                    <a:ln w="9525">
                      <a:noFill/>
                      <a:miter lim="800000"/>
                      <a:headEnd/>
                      <a:tailEnd/>
                    </a:ln>
                  </pic:spPr>
                </pic:pic>
              </a:graphicData>
            </a:graphic>
          </wp:inline>
        </w:drawing>
      </w:r>
    </w:p>
    <w:p>
      <w:pPr>
        <w:spacing w:line="240" w:lineRule="auto"/>
        <w:ind w:firstLine="0"/>
        <w:rPr>
          <w:rFonts w:ascii="Times New Roman" w:hAnsi="Times New Roman" w:eastAsia="Times New Roman" w:cs="Times New Roman"/>
          <w:sz w:val="24"/>
          <w:szCs w:val="24"/>
        </w:rPr>
      </w:pPr>
      <w:r>
        <w:drawing>
          <wp:inline distT="0" distB="0" distL="0" distR="0">
            <wp:extent cx="5037455" cy="6826250"/>
            <wp:effectExtent l="19050" t="0" r="0" b="0"/>
            <wp:docPr id="51" name="Picture 51" descr="C:\Users\Maya\AppData\Local\Microsoft\Windows\Temporary Internet Files\Content.Word\abstrak ind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Maya\AppData\Local\Microsoft\Windows\Temporary Internet Files\Content.Word\abstrak indo_3.jpg"/>
                    <pic:cNvPicPr>
                      <a:picLocks noChangeAspect="1" noChangeArrowheads="1"/>
                    </pic:cNvPicPr>
                  </pic:nvPicPr>
                  <pic:blipFill>
                    <a:blip r:embed="rId21"/>
                    <a:srcRect/>
                    <a:stretch>
                      <a:fillRect/>
                    </a:stretch>
                  </pic:blipFill>
                  <pic:spPr>
                    <a:xfrm>
                      <a:off x="0" y="0"/>
                      <a:ext cx="5037455" cy="6826419"/>
                    </a:xfrm>
                    <a:prstGeom prst="rect">
                      <a:avLst/>
                    </a:prstGeom>
                    <a:noFill/>
                    <a:ln w="9525">
                      <a:noFill/>
                      <a:miter lim="800000"/>
                      <a:headEnd/>
                      <a:tailEnd/>
                    </a:ln>
                  </pic:spPr>
                </pic:pic>
              </a:graphicData>
            </a:graphic>
          </wp:inline>
        </w:drawing>
      </w:r>
      <w:r>
        <w:rPr>
          <w:rFonts w:ascii="Times New Roman" w:hAnsi="Times New Roman" w:eastAsia="Times New Roman" w:cs="Times New Roman"/>
          <w:sz w:val="24"/>
          <w:szCs w:val="24"/>
        </w:rPr>
        <w:br w:type="page"/>
      </w:r>
      <w:r>
        <w:drawing>
          <wp:inline distT="0" distB="0" distL="0" distR="0">
            <wp:extent cx="5037455" cy="6826250"/>
            <wp:effectExtent l="19050" t="0" r="0" b="0"/>
            <wp:docPr id="16" name="Picture 16" descr="C:\Users\Maya\AppData\Local\Microsoft\Windows\Temporary Internet Files\Content.Word\CamScanner 10-28-2021 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aya\AppData\Local\Microsoft\Windows\Temporary Internet Files\Content.Word\CamScanner 10-28-2021 19.59.jpg"/>
                    <pic:cNvPicPr>
                      <a:picLocks noChangeAspect="1" noChangeArrowheads="1"/>
                    </pic:cNvPicPr>
                  </pic:nvPicPr>
                  <pic:blipFill>
                    <a:blip r:embed="rId22"/>
                    <a:srcRect/>
                    <a:stretch>
                      <a:fillRect/>
                    </a:stretch>
                  </pic:blipFill>
                  <pic:spPr>
                    <a:xfrm>
                      <a:off x="0" y="0"/>
                      <a:ext cx="5037455" cy="6826419"/>
                    </a:xfrm>
                    <a:prstGeom prst="rect">
                      <a:avLst/>
                    </a:prstGeom>
                    <a:noFill/>
                    <a:ln w="9525">
                      <a:noFill/>
                      <a:miter lim="800000"/>
                      <a:headEnd/>
                      <a:tailEnd/>
                    </a:ln>
                  </pic:spPr>
                </pic:pic>
              </a:graphicData>
            </a:graphic>
          </wp:inline>
        </w:drawing>
      </w:r>
    </w:p>
    <w:p>
      <w:pPr>
        <w:pStyle w:val="23"/>
        <w:spacing w:line="360" w:lineRule="auto"/>
        <w:ind w:firstLine="0"/>
        <w:jc w:val="center"/>
        <w:rPr>
          <w:rFonts w:ascii="Times New Roman" w:hAnsi="Times New Roman" w:eastAsia="Times New Roman" w:cs="Times New Roman"/>
          <w:b/>
          <w:sz w:val="28"/>
          <w:szCs w:val="28"/>
          <w:lang w:val="id-ID"/>
        </w:rPr>
      </w:pPr>
    </w:p>
    <w:p>
      <w:pPr>
        <w:pStyle w:val="23"/>
        <w:spacing w:line="360" w:lineRule="auto"/>
        <w:ind w:firstLine="0"/>
        <w:jc w:val="center"/>
        <w:rPr>
          <w:rFonts w:ascii="Times New Roman" w:hAnsi="Times New Roman" w:eastAsia="Times New Roman" w:cs="Times New Roman"/>
          <w:b/>
          <w:sz w:val="28"/>
          <w:szCs w:val="28"/>
          <w:lang w:val="id-ID"/>
        </w:rPr>
      </w:pPr>
    </w:p>
    <w:p>
      <w:pPr>
        <w:pStyle w:val="23"/>
        <w:spacing w:line="360" w:lineRule="auto"/>
        <w:ind w:firstLine="0"/>
        <w:jc w:val="center"/>
        <w:rPr>
          <w:rFonts w:ascii="Times New Roman" w:hAnsi="Times New Roman" w:eastAsia="Times New Roman" w:cs="Times New Roman"/>
          <w:b/>
          <w:sz w:val="28"/>
          <w:szCs w:val="28"/>
          <w:lang w:val="id-ID"/>
        </w:rPr>
      </w:pPr>
    </w:p>
    <w:p>
      <w:pPr>
        <w:spacing w:line="240" w:lineRule="auto"/>
        <w:ind w:left="1170" w:hanging="1170"/>
        <w:rPr>
          <w:rFonts w:ascii="Times New Roman" w:hAnsi="Times New Roman" w:eastAsia="Times New Roman" w:cs="Times New Roman"/>
          <w:sz w:val="20"/>
          <w:szCs w:val="20"/>
        </w:rPr>
        <w:sectPr>
          <w:pgSz w:w="11907" w:h="16840"/>
          <w:pgMar w:top="2275" w:right="1699" w:bottom="1699" w:left="2275" w:header="1728" w:footer="1728" w:gutter="0"/>
          <w:pgNumType w:fmt="lowerRoman"/>
          <w:cols w:space="720" w:num="1"/>
          <w:titlePg/>
          <w:docGrid w:linePitch="360" w:charSpace="0"/>
        </w:sectPr>
      </w:pPr>
    </w:p>
    <w:p>
      <w:pPr>
        <w:spacing w:line="240" w:lineRule="auto"/>
        <w:ind w:firstLine="0"/>
        <w:jc w:val="center"/>
        <w:rPr>
          <w:rFonts w:ascii="Times New Roman" w:hAnsi="Times New Roman" w:eastAsia="Times New Roman" w:cs="Times New Roman"/>
          <w:bCs/>
          <w:i/>
          <w:iCs/>
          <w:sz w:val="24"/>
          <w:szCs w:val="24"/>
        </w:rPr>
      </w:pPr>
      <w:r>
        <w:rPr>
          <w:rFonts w:ascii="Times New Roman" w:hAnsi="Times New Roman" w:eastAsia="Times New Roman" w:cs="Times New Roman"/>
          <w:b/>
          <w:i/>
          <w:iCs/>
          <w:sz w:val="24"/>
          <w:szCs w:val="24"/>
        </w:rPr>
        <w:t>ABSTRACT</w:t>
      </w:r>
    </w:p>
    <w:p>
      <w:pPr>
        <w:spacing w:line="240" w:lineRule="auto"/>
        <w:ind w:firstLine="0"/>
        <w:rPr>
          <w:rFonts w:ascii="Times New Roman" w:hAnsi="Times New Roman" w:eastAsia="Times New Roman" w:cs="Times New Roman"/>
          <w:bCs/>
          <w:i/>
          <w:iCs/>
          <w:sz w:val="24"/>
          <w:szCs w:val="24"/>
        </w:rPr>
      </w:pPr>
    </w:p>
    <w:p>
      <w:pPr>
        <w:spacing w:line="240" w:lineRule="auto"/>
        <w:ind w:firstLine="0"/>
        <w:rPr>
          <w:rFonts w:ascii="Times New Roman" w:hAnsi="Times New Roman" w:eastAsia="Times New Roman" w:cs="Times New Roman"/>
          <w:bCs/>
          <w:i/>
          <w:iCs/>
          <w:sz w:val="24"/>
          <w:szCs w:val="24"/>
        </w:rPr>
      </w:pPr>
    </w:p>
    <w:p>
      <w:pPr>
        <w:spacing w:line="240" w:lineRule="auto"/>
        <w:ind w:firstLine="0"/>
        <w:rPr>
          <w:rFonts w:ascii="Times New Roman" w:hAnsi="Times New Roman" w:eastAsia="Times New Roman" w:cs="Times New Roman"/>
          <w:b/>
          <w:i/>
          <w:iCs/>
          <w:sz w:val="24"/>
          <w:szCs w:val="24"/>
        </w:rPr>
      </w:pPr>
      <w:r>
        <w:rPr>
          <w:rFonts w:ascii="Times New Roman" w:hAnsi="Times New Roman" w:eastAsia="Times New Roman" w:cs="Times New Roman"/>
          <w:b/>
          <w:i/>
          <w:iCs/>
          <w:sz w:val="24"/>
          <w:szCs w:val="24"/>
        </w:rPr>
        <w:t>WIDYAWATI MALANUA. E2117135. THE EFFECT OF INVESTMENT OPPORTUNITY SET, CORPORATE SOCIAL RESPONSIBILITY, AND BUSINESS RISK ON THE COMPANY VALUE (A CASE STUDY OF BANKING SUBSECTORS LISTED ON THE INDONESIA STOCK EXCHANGE) PERIOD OF 2015-2019</w:t>
      </w:r>
    </w:p>
    <w:p>
      <w:pPr>
        <w:spacing w:line="240" w:lineRule="auto"/>
        <w:ind w:firstLine="0"/>
        <w:rPr>
          <w:rFonts w:ascii="Times New Roman" w:hAnsi="Times New Roman" w:eastAsia="Times New Roman" w:cs="Times New Roman"/>
          <w:b/>
          <w:i/>
          <w:iCs/>
          <w:sz w:val="24"/>
          <w:szCs w:val="24"/>
        </w:rPr>
      </w:pPr>
    </w:p>
    <w:p>
      <w:pPr>
        <w:spacing w:line="240" w:lineRule="auto"/>
        <w:ind w:firstLine="0"/>
        <w:rPr>
          <w:rFonts w:ascii="Times New Roman" w:hAnsi="Times New Roman" w:eastAsia="Times New Roman" w:cs="Times New Roman"/>
          <w:b/>
          <w:i/>
          <w:iCs/>
          <w:sz w:val="24"/>
          <w:szCs w:val="24"/>
        </w:rPr>
      </w:pPr>
      <w:r>
        <w:rPr>
          <w:rFonts w:ascii="Times New Roman" w:hAnsi="Times New Roman" w:eastAsia="Times New Roman" w:cs="Times New Roman"/>
          <w:bCs/>
          <w:i/>
          <w:iCs/>
          <w:sz w:val="24"/>
          <w:szCs w:val="24"/>
        </w:rPr>
        <w:t>This study aims to find out the effect of the investment opportunity set, corporate social responsibility, and business risk on the company value. The investment opportunity set is measured by using Market Book Value Equity and Capital Expenditure to book the value of assets.  Corporate social responsibility is measured by applying the corporate social responsibility disclosure index.  The business risk is measured by benefitting the business risk in banking sub-sector companies listed on the Indonesia Stock Exchange (IDX) in 2015-2019. The method of determining the sample employs purposive sampling to obtain 39 companies as samples. The data analysis technique used is the multiple regression analysis. The results of the study signify that the investment opportunity set consisting of market book value equity has a significant effect on the company value, capital expenditure to book value of assets has no significant effect on the company value, and the corporate social responsibility has a significant effect on the company value, while the business risk has no effect on the company value.</w:t>
      </w:r>
    </w:p>
    <w:p>
      <w:pPr>
        <w:spacing w:line="240" w:lineRule="auto"/>
        <w:ind w:firstLine="0"/>
        <w:rPr>
          <w:rFonts w:ascii="Times New Roman" w:hAnsi="Times New Roman" w:eastAsia="Times New Roman" w:cs="Times New Roman"/>
          <w:bCs/>
          <w:i/>
          <w:iCs/>
          <w:sz w:val="24"/>
          <w:szCs w:val="24"/>
        </w:rPr>
      </w:pPr>
    </w:p>
    <w:p>
      <w:pPr>
        <w:spacing w:line="240" w:lineRule="auto"/>
        <w:ind w:firstLine="0"/>
        <w:rPr>
          <w:rFonts w:ascii="Times New Roman" w:hAnsi="Times New Roman" w:eastAsia="Times New Roman" w:cs="Times New Roman"/>
          <w:bCs/>
          <w:i/>
          <w:iCs/>
          <w:sz w:val="24"/>
          <w:szCs w:val="24"/>
        </w:rPr>
      </w:pPr>
    </w:p>
    <w:p>
      <w:pPr>
        <w:spacing w:line="240" w:lineRule="auto"/>
        <w:ind w:firstLine="0"/>
        <w:rPr>
          <w:rFonts w:ascii="Times New Roman" w:hAnsi="Times New Roman" w:eastAsia="Times New Roman" w:cs="Times New Roman"/>
          <w:bCs/>
          <w:i/>
          <w:iCs/>
          <w:sz w:val="24"/>
          <w:szCs w:val="24"/>
        </w:rPr>
      </w:pPr>
      <w:r>
        <w:rPr>
          <w:rFonts w:ascii="Times New Roman" w:hAnsi="Times New Roman" w:eastAsia="Times New Roman" w:cs="Times New Roman"/>
          <w:bCs/>
          <w:i/>
          <w:iCs/>
          <w:sz w:val="24"/>
          <w:szCs w:val="24"/>
        </w:rPr>
        <w:t xml:space="preserve">Keywords: investment opportunity set, corporate social responsibility, business </w:t>
      </w:r>
    </w:p>
    <w:p>
      <w:pPr>
        <w:spacing w:line="240" w:lineRule="auto"/>
        <w:ind w:firstLine="0"/>
        <w:rPr>
          <w:rFonts w:ascii="Times New Roman" w:hAnsi="Times New Roman" w:eastAsia="Times New Roman" w:cs="Times New Roman"/>
          <w:bCs/>
          <w:i/>
          <w:iCs/>
          <w:sz w:val="24"/>
          <w:szCs w:val="24"/>
        </w:rPr>
      </w:pPr>
      <w:r>
        <w:rPr>
          <w:rFonts w:ascii="Times New Roman" w:hAnsi="Times New Roman" w:eastAsia="Times New Roman" w:cs="Times New Roman"/>
          <w:bCs/>
          <w:i/>
          <w:iCs/>
          <w:sz w:val="24"/>
          <w:szCs w:val="24"/>
        </w:rPr>
        <w:t>risk</w:t>
      </w:r>
      <w:r>
        <w:rPr>
          <w:rFonts w:ascii="Times New Roman" w:hAnsi="Times New Roman" w:eastAsia="Times New Roman" w:cs="Times New Roman"/>
          <w:bCs/>
          <w:i/>
          <w:iCs/>
          <w:sz w:val="24"/>
          <w:szCs w:val="24"/>
          <w:lang w:val="id-ID"/>
        </w:rPr>
        <w:t xml:space="preserve">, company </w:t>
      </w:r>
      <w:r>
        <w:rPr>
          <w:rFonts w:ascii="Times New Roman" w:hAnsi="Times New Roman" w:eastAsia="Times New Roman" w:cs="Times New Roman"/>
          <w:bCs/>
          <w:i/>
          <w:iCs/>
          <w:sz w:val="24"/>
          <w:szCs w:val="24"/>
        </w:rPr>
        <w:t>value</w:t>
      </w:r>
    </w:p>
    <w:p>
      <w:pPr>
        <w:spacing w:line="240" w:lineRule="auto"/>
        <w:ind w:firstLine="0"/>
        <w:jc w:val="left"/>
        <w:rPr>
          <w:rFonts w:ascii="Times New Roman" w:hAnsi="Times New Roman" w:cs="Times New Roman"/>
          <w:b/>
          <w:sz w:val="24"/>
          <w:szCs w:val="24"/>
          <w:lang w:val="id-ID"/>
        </w:rPr>
      </w:pPr>
    </w:p>
    <w:p>
      <w:pPr>
        <w:spacing w:line="240" w:lineRule="auto"/>
        <w:ind w:firstLine="0"/>
        <w:jc w:val="left"/>
        <w:rPr>
          <w:rFonts w:ascii="Times New Roman" w:hAnsi="Times New Roman" w:cs="Times New Roman"/>
          <w:b/>
          <w:sz w:val="24"/>
          <w:szCs w:val="24"/>
          <w:lang w:val="id-ID"/>
        </w:rPr>
      </w:pPr>
    </w:p>
    <w:p>
      <w:pPr>
        <w:spacing w:line="240" w:lineRule="auto"/>
        <w:ind w:firstLine="0"/>
        <w:jc w:val="left"/>
        <w:rPr>
          <w:rFonts w:ascii="Times New Roman" w:hAnsi="Times New Roman" w:cs="Times New Roman"/>
          <w:b/>
          <w:sz w:val="24"/>
          <w:szCs w:val="24"/>
          <w:lang w:val="id-ID"/>
        </w:rPr>
      </w:pPr>
    </w:p>
    <w:p>
      <w:pPr>
        <w:spacing w:line="240" w:lineRule="auto"/>
        <w:ind w:firstLine="0"/>
        <w:jc w:val="left"/>
        <w:rPr>
          <w:rFonts w:ascii="Times New Roman" w:hAnsi="Times New Roman" w:cs="Times New Roman"/>
          <w:b/>
          <w:sz w:val="24"/>
          <w:szCs w:val="24"/>
          <w:lang w:val="id-ID"/>
        </w:rPr>
      </w:pPr>
    </w:p>
    <w:p>
      <w:pPr>
        <w:spacing w:line="240" w:lineRule="auto"/>
        <w:ind w:firstLine="0"/>
        <w:jc w:val="left"/>
        <w:rPr>
          <w:rFonts w:ascii="Times New Roman" w:hAnsi="Times New Roman" w:cs="Times New Roman"/>
          <w:b/>
          <w:sz w:val="24"/>
          <w:szCs w:val="24"/>
          <w:lang w:val="id-ID"/>
        </w:rPr>
        <w:sectPr>
          <w:pgSz w:w="11907" w:h="16840"/>
          <w:pgMar w:top="2275" w:right="1699" w:bottom="1699" w:left="2250" w:header="1728" w:footer="1728" w:gutter="0"/>
          <w:pgNumType w:fmt="lowerRoman" w:start="3"/>
          <w:cols w:space="720" w:num="1"/>
          <w:docGrid w:linePitch="360" w:charSpace="0"/>
        </w:sectPr>
      </w:pPr>
    </w:p>
    <w:p>
      <w:pPr>
        <w:spacing w:line="360" w:lineRule="auto"/>
        <w:ind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ABSTRAK</w:t>
      </w:r>
    </w:p>
    <w:p>
      <w:pPr>
        <w:spacing w:line="360" w:lineRule="auto"/>
        <w:ind w:firstLine="0"/>
        <w:jc w:val="center"/>
        <w:rPr>
          <w:rFonts w:ascii="Times New Roman" w:hAnsi="Times New Roman" w:eastAsia="Times New Roman" w:cs="Times New Roman"/>
          <w:b/>
          <w:sz w:val="24"/>
          <w:szCs w:val="24"/>
        </w:rPr>
      </w:pPr>
    </w:p>
    <w:p>
      <w:pPr>
        <w:spacing w:line="240" w:lineRule="auto"/>
        <w:ind w:firstLine="0"/>
        <w:rPr>
          <w:rFonts w:ascii="Times New Roman" w:hAnsi="Times New Roman" w:eastAsia="Times New Roman" w:cs="Times New Roman"/>
          <w:b/>
          <w:bCs/>
          <w:sz w:val="24"/>
          <w:szCs w:val="24"/>
          <w:lang w:val="id-ID"/>
        </w:rPr>
      </w:pPr>
      <w:r>
        <w:rPr>
          <w:rFonts w:ascii="Times New Roman" w:hAnsi="Times New Roman" w:eastAsia="Times New Roman" w:cs="Times New Roman"/>
          <w:b/>
          <w:bCs/>
          <w:sz w:val="24"/>
          <w:szCs w:val="24"/>
        </w:rPr>
        <w:t>WIDYAWATI MALANUA</w:t>
      </w:r>
      <w:r>
        <w:rPr>
          <w:rFonts w:ascii="Times New Roman" w:hAnsi="Times New Roman" w:eastAsia="Times New Roman" w:cs="Times New Roman"/>
          <w:b/>
          <w:bCs/>
          <w:sz w:val="24"/>
          <w:szCs w:val="24"/>
          <w:lang w:val="id-ID"/>
        </w:rPr>
        <w:t xml:space="preserve">.  E2117135.  </w:t>
      </w:r>
      <w:r>
        <w:rPr>
          <w:rFonts w:ascii="Times New Roman" w:hAnsi="Times New Roman" w:eastAsia="Times New Roman" w:cs="Times New Roman"/>
          <w:b/>
          <w:bCs/>
          <w:sz w:val="24"/>
          <w:szCs w:val="24"/>
        </w:rPr>
        <w:t xml:space="preserve">PENGARUH </w:t>
      </w:r>
      <w:r>
        <w:rPr>
          <w:rFonts w:ascii="Times New Roman" w:hAnsi="Times New Roman" w:eastAsia="Times New Roman" w:cs="Times New Roman"/>
          <w:b/>
          <w:bCs/>
          <w:i/>
          <w:sz w:val="24"/>
          <w:szCs w:val="24"/>
        </w:rPr>
        <w:t>INVESMENT OPPORTUNITY SET, CORRPORATE SOCIAL RESPONBILITY</w:t>
      </w:r>
      <w:r>
        <w:rPr>
          <w:rFonts w:ascii="Times New Roman" w:hAnsi="Times New Roman" w:eastAsia="Times New Roman" w:cs="Times New Roman"/>
          <w:b/>
          <w:bCs/>
          <w:sz w:val="24"/>
          <w:szCs w:val="24"/>
        </w:rPr>
        <w:t>, DAN RISIKO BISNIS TERHADAP NILAI PERUSAHAAN (STUDI KASUS PADA SUBSEKTOR PERBANKAN YANG TERDAFTAR DI BURSA EFEK INDONESIA) PERIODE TAHUN 2015-2019</w:t>
      </w:r>
    </w:p>
    <w:p>
      <w:pPr>
        <w:spacing w:line="240" w:lineRule="auto"/>
        <w:ind w:firstLine="0"/>
        <w:rPr>
          <w:rFonts w:ascii="Times New Roman" w:hAnsi="Times New Roman" w:eastAsia="Times New Roman" w:cs="Times New Roman"/>
          <w:b/>
          <w:bCs/>
          <w:sz w:val="24"/>
          <w:szCs w:val="24"/>
        </w:rPr>
      </w:pPr>
    </w:p>
    <w:p>
      <w:pPr>
        <w:spacing w:line="240" w:lineRule="auto"/>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Penelitian ini bertujuan untuk mengetahui pengaruh </w:t>
      </w:r>
      <w:r>
        <w:rPr>
          <w:rFonts w:ascii="Times New Roman" w:hAnsi="Times New Roman" w:eastAsia="Times New Roman" w:cs="Times New Roman"/>
          <w:i/>
          <w:sz w:val="24"/>
          <w:szCs w:val="24"/>
        </w:rPr>
        <w:t xml:space="preserve">invesment opportunity set, corrporate social responbility </w:t>
      </w:r>
      <w:r>
        <w:rPr>
          <w:rFonts w:ascii="Times New Roman" w:hAnsi="Times New Roman" w:eastAsia="Times New Roman" w:cs="Times New Roman"/>
          <w:sz w:val="24"/>
          <w:szCs w:val="24"/>
        </w:rPr>
        <w:t xml:space="preserve">dan risiko bisnis terhadap nilai perusahaan. </w:t>
      </w:r>
      <w:r>
        <w:rPr>
          <w:rFonts w:ascii="Times New Roman" w:hAnsi="Times New Roman" w:eastAsia="Times New Roman" w:cs="Times New Roman"/>
          <w:i/>
          <w:sz w:val="24"/>
          <w:szCs w:val="24"/>
        </w:rPr>
        <w:t xml:space="preserve">Invesment opportunity set </w:t>
      </w:r>
      <w:r>
        <w:rPr>
          <w:rFonts w:ascii="Times New Roman" w:hAnsi="Times New Roman" w:eastAsia="Times New Roman" w:cs="Times New Roman"/>
          <w:sz w:val="24"/>
          <w:szCs w:val="24"/>
        </w:rPr>
        <w:t xml:space="preserve">diukur menggunakan </w:t>
      </w:r>
      <w:r>
        <w:rPr>
          <w:rFonts w:ascii="Times New Roman" w:hAnsi="Times New Roman" w:eastAsia="Times New Roman" w:cs="Times New Roman"/>
          <w:i/>
          <w:sz w:val="24"/>
          <w:szCs w:val="24"/>
        </w:rPr>
        <w:t>Market Book Value Equity, Capital Expenditure to book value of assets</w:t>
      </w:r>
      <w:r>
        <w:rPr>
          <w:rFonts w:ascii="Times New Roman" w:hAnsi="Times New Roman" w:eastAsia="Times New Roman" w:cs="Times New Roman"/>
          <w:sz w:val="24"/>
          <w:szCs w:val="24"/>
        </w:rPr>
        <w:t xml:space="preserve"> dan </w:t>
      </w:r>
      <w:r>
        <w:rPr>
          <w:rFonts w:ascii="Times New Roman" w:hAnsi="Times New Roman" w:eastAsia="Times New Roman" w:cs="Times New Roman"/>
          <w:i/>
          <w:sz w:val="24"/>
          <w:szCs w:val="24"/>
        </w:rPr>
        <w:t xml:space="preserve">Corrporate social responbility </w:t>
      </w:r>
      <w:r>
        <w:rPr>
          <w:rFonts w:ascii="Times New Roman" w:hAnsi="Times New Roman" w:eastAsia="Times New Roman" w:cs="Times New Roman"/>
          <w:sz w:val="24"/>
          <w:szCs w:val="24"/>
        </w:rPr>
        <w:t xml:space="preserve">diukur dengan </w:t>
      </w:r>
      <w:r>
        <w:rPr>
          <w:rFonts w:ascii="Times New Roman" w:hAnsi="Times New Roman" w:eastAsia="Times New Roman" w:cs="Times New Roman"/>
          <w:i/>
          <w:sz w:val="24"/>
          <w:szCs w:val="24"/>
        </w:rPr>
        <w:t>Corrporate social responbility disclosure index</w:t>
      </w:r>
      <w:r>
        <w:rPr>
          <w:rFonts w:ascii="Times New Roman" w:hAnsi="Times New Roman" w:eastAsia="Times New Roman" w:cs="Times New Roman"/>
          <w:sz w:val="24"/>
          <w:szCs w:val="24"/>
        </w:rPr>
        <w:t xml:space="preserve"> dan risiko bisnis diukur dengan </w:t>
      </w:r>
      <w:r>
        <w:rPr>
          <w:rFonts w:ascii="Times New Roman" w:hAnsi="Times New Roman" w:eastAsia="Times New Roman" w:cs="Times New Roman"/>
          <w:i/>
          <w:sz w:val="24"/>
          <w:szCs w:val="24"/>
        </w:rPr>
        <w:t>businnes risk</w:t>
      </w:r>
      <w:r>
        <w:rPr>
          <w:rFonts w:ascii="Times New Roman" w:hAnsi="Times New Roman" w:eastAsia="Times New Roman" w:cs="Times New Roman"/>
          <w:sz w:val="24"/>
          <w:szCs w:val="24"/>
        </w:rPr>
        <w:t xml:space="preserve"> pada perusahaan sub sektorperbankan yang terdaftar di Bursa Efek Indonesia (BEI) tahun 2015-2019. Metode penentuan sampel menggunakan </w:t>
      </w:r>
      <w:r>
        <w:rPr>
          <w:rFonts w:ascii="Times New Roman" w:hAnsi="Times New Roman" w:eastAsia="Times New Roman" w:cs="Times New Roman"/>
          <w:i/>
          <w:sz w:val="24"/>
          <w:szCs w:val="24"/>
        </w:rPr>
        <w:t xml:space="preserve">purposive sampling </w:t>
      </w:r>
      <w:r>
        <w:rPr>
          <w:rFonts w:ascii="Times New Roman" w:hAnsi="Times New Roman" w:eastAsia="Times New Roman" w:cs="Times New Roman"/>
          <w:sz w:val="24"/>
          <w:szCs w:val="24"/>
        </w:rPr>
        <w:t xml:space="preserve">maka didapatkan sampel sebanyak 39 perusahaan. Teknik analisis data yang digunakan adalah analisis regresi berganda. Hasil penelitian diperoleh bahwa </w:t>
      </w:r>
      <w:r>
        <w:rPr>
          <w:rFonts w:ascii="Times New Roman" w:hAnsi="Times New Roman" w:eastAsia="Times New Roman" w:cs="Times New Roman"/>
          <w:i/>
          <w:sz w:val="24"/>
          <w:szCs w:val="24"/>
        </w:rPr>
        <w:t>invesment opportunity set</w:t>
      </w:r>
      <w:r>
        <w:rPr>
          <w:rFonts w:ascii="Times New Roman" w:hAnsi="Times New Roman" w:eastAsia="Times New Roman" w:cs="Times New Roman"/>
          <w:sz w:val="24"/>
          <w:szCs w:val="24"/>
        </w:rPr>
        <w:t xml:space="preserve"> yang terdiri dari </w:t>
      </w:r>
      <w:r>
        <w:rPr>
          <w:rFonts w:ascii="Times New Roman" w:hAnsi="Times New Roman" w:eastAsia="Times New Roman" w:cs="Times New Roman"/>
          <w:i/>
          <w:sz w:val="24"/>
          <w:szCs w:val="24"/>
        </w:rPr>
        <w:t xml:space="preserve">market book value equity </w:t>
      </w:r>
      <w:r>
        <w:rPr>
          <w:rFonts w:ascii="Times New Roman" w:hAnsi="Times New Roman" w:eastAsia="Times New Roman" w:cs="Times New Roman"/>
          <w:sz w:val="24"/>
          <w:szCs w:val="24"/>
        </w:rPr>
        <w:t>berpengaruh signifikan terhadap nilai perusahaan,</w:t>
      </w:r>
      <w:r>
        <w:rPr>
          <w:rFonts w:ascii="Times New Roman" w:hAnsi="Times New Roman" w:eastAsia="Times New Roman" w:cs="Times New Roman"/>
          <w:i/>
          <w:sz w:val="24"/>
          <w:szCs w:val="24"/>
        </w:rPr>
        <w:t xml:space="preserve"> Capital Expenditure to book value of assets </w:t>
      </w:r>
      <w:r>
        <w:rPr>
          <w:rFonts w:ascii="Times New Roman" w:hAnsi="Times New Roman" w:eastAsia="Times New Roman" w:cs="Times New Roman"/>
          <w:sz w:val="24"/>
          <w:szCs w:val="24"/>
        </w:rPr>
        <w:t xml:space="preserve">tidak berpengaruh signifikan terhadap nilai perusahaan, </w:t>
      </w:r>
      <w:r>
        <w:rPr>
          <w:rFonts w:ascii="Times New Roman" w:hAnsi="Times New Roman" w:eastAsia="Times New Roman" w:cs="Times New Roman"/>
          <w:i/>
          <w:sz w:val="24"/>
          <w:szCs w:val="24"/>
        </w:rPr>
        <w:t xml:space="preserve">Corrporate social responbility </w:t>
      </w:r>
      <w:r>
        <w:rPr>
          <w:rFonts w:ascii="Times New Roman" w:hAnsi="Times New Roman" w:eastAsia="Times New Roman" w:cs="Times New Roman"/>
          <w:sz w:val="24"/>
          <w:szCs w:val="24"/>
        </w:rPr>
        <w:t xml:space="preserve">berpengaruh signifikan terhadap nilai perusahaan, dan risiko bisnis tidak berpengaruh terhadap nilai perusahaan. </w:t>
      </w:r>
    </w:p>
    <w:p>
      <w:pPr>
        <w:spacing w:line="240" w:lineRule="auto"/>
        <w:ind w:firstLine="0"/>
        <w:rPr>
          <w:rFonts w:ascii="Times New Roman" w:hAnsi="Times New Roman" w:eastAsia="Times New Roman" w:cs="Times New Roman"/>
          <w:sz w:val="24"/>
          <w:szCs w:val="24"/>
        </w:rPr>
      </w:pPr>
    </w:p>
    <w:p>
      <w:pPr>
        <w:spacing w:line="240" w:lineRule="auto"/>
        <w:ind w:left="1170" w:hanging="117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Kata kunci: </w:t>
      </w:r>
      <w:r>
        <w:rPr>
          <w:rFonts w:ascii="Times New Roman" w:hAnsi="Times New Roman" w:eastAsia="Times New Roman" w:cs="Times New Roman"/>
          <w:i/>
          <w:sz w:val="24"/>
          <w:szCs w:val="24"/>
        </w:rPr>
        <w:t>invesment opportunity set, corrporate social responbility</w:t>
      </w:r>
      <w:r>
        <w:rPr>
          <w:rFonts w:ascii="Times New Roman" w:hAnsi="Times New Roman" w:eastAsia="Times New Roman" w:cs="Times New Roman"/>
          <w:sz w:val="24"/>
          <w:szCs w:val="24"/>
        </w:rPr>
        <w:t>, risiko bisnis dan nilai perusahaan</w:t>
      </w:r>
    </w:p>
    <w:p>
      <w:pPr>
        <w:spacing w:line="240" w:lineRule="auto"/>
        <w:ind w:firstLine="0"/>
        <w:jc w:val="left"/>
        <w:rPr>
          <w:sz w:val="24"/>
          <w:szCs w:val="24"/>
          <w:lang w:val="id-ID"/>
        </w:rPr>
      </w:pPr>
      <w:r>
        <w:rPr>
          <w:sz w:val="24"/>
          <w:szCs w:val="24"/>
        </w:rPr>
        <w:br w:type="page"/>
      </w:r>
    </w:p>
    <w:p>
      <w:pPr>
        <w:spacing w:line="360" w:lineRule="auto"/>
        <w:ind w:firstLine="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KATA PENGANTAR</w:t>
      </w:r>
    </w:p>
    <w:p>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Puji syukur penulis panjatkan kepada Tuhan Yang Maha Esa, karena atas berkat dan rahmat-Nya penulis dapat menyelesaikan usulan penelitian ini dengan judul, </w:t>
      </w:r>
      <w:r>
        <w:rPr>
          <w:rFonts w:ascii="Times New Roman" w:hAnsi="Times New Roman" w:eastAsia="Times New Roman" w:cs="Times New Roman"/>
          <w:b/>
          <w:sz w:val="24"/>
          <w:szCs w:val="24"/>
        </w:rPr>
        <w:t xml:space="preserve">“Pengaruh </w:t>
      </w:r>
      <w:r>
        <w:rPr>
          <w:rFonts w:ascii="Times New Roman" w:hAnsi="Times New Roman" w:eastAsia="Times New Roman" w:cs="Times New Roman"/>
          <w:b/>
          <w:i/>
          <w:sz w:val="24"/>
          <w:szCs w:val="24"/>
        </w:rPr>
        <w:t>Invesment Opportunity Set, Corrporate Social Responbility</w:t>
      </w:r>
      <w:r>
        <w:rPr>
          <w:rFonts w:ascii="Times New Roman" w:hAnsi="Times New Roman" w:eastAsia="Times New Roman" w:cs="Times New Roman"/>
          <w:b/>
          <w:sz w:val="24"/>
          <w:szCs w:val="24"/>
        </w:rPr>
        <w:t xml:space="preserve"> dan Risiko Bisnis terhadap Nilai Perusahaan Pada Sub Sektor Perbankan yang Terdaftar di Bursa Efek Indonesia Periode 2015-2019)”, </w:t>
      </w:r>
      <w:r>
        <w:rPr>
          <w:rFonts w:ascii="Times New Roman" w:hAnsi="Times New Roman" w:eastAsia="Times New Roman" w:cs="Times New Roman"/>
          <w:sz w:val="24"/>
          <w:szCs w:val="24"/>
        </w:rPr>
        <w:t>sesuai dengan yang direncanakan. Usulan Penelitian ini dibuat untuk memenuhi salah satu syarat untuk mengikuti syarat ujian skripsi.</w:t>
      </w:r>
    </w:p>
    <w:p>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Penulis menyadari bahwa tanpa bantuan dan berbagai pihak, usulan penelitian ini tidak dapat penulis selesaikan. Oleh karena itu penulis menyampaikan terima kasih kepada Bapak Muh. Ichsan Gaffar, SE., M.Ak., CSRS, selaku ketua yayasan pengembangan Ilmu Pengetahuan dan Teknologi (YPIPT) Ichsan Gorontalo. Bapak Dr.Hi. Abd Gaffar La Tjokke, SE., M.Si, selaku Rektor Universitas Ichsan Gorontalo. Bapak Dr.Ariawan, S.Psi., SE., MM., selaku dekan di Fakultas Ekonomi. Ibu Eka Zahra Solikahan,SE., MM sebagai Ketua Jurusan Manajemen Fakultas Ekonomi Universitas Ichsan Gorontalo selaku Pembimbing II dan Bapak  Muh. Fuad Alamsyah,SE., M.Sc selaku Pembimbing 1 yang telah membimbing penulis selama mengerjakan usulan penelitian ini. serta bapak dan ibu dosen yang telah mendidik dan membimbing penulis dalam mengerjakan usulan penelitian ini.</w:t>
      </w:r>
    </w:p>
    <w:p>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Terima kasih kepada orang tua dan keluarga saya atas bantuan dan dukungan mereka. Siapapun yang membantu penulis menyelesaikan proyek penelitian ini.</w:t>
      </w:r>
    </w:p>
    <w:p>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Beberapa saran dan kritik yang telah penulis sampaikan, berharap mendapat dukungan dari panitia review dan semua pihak untuk meningkatkan penulisan skripsi lebih lanjut. Semoga proposal penelitian ini bermanfaat bagi pihak yang berkepentingan.</w:t>
      </w:r>
    </w:p>
    <w:p>
      <w:pPr>
        <w:ind w:firstLine="720"/>
        <w:rPr>
          <w:rFonts w:ascii="Times New Roman" w:hAnsi="Times New Roman" w:eastAsia="Times New Roman" w:cs="Times New Roman"/>
          <w:sz w:val="24"/>
          <w:szCs w:val="24"/>
        </w:rPr>
      </w:pPr>
    </w:p>
    <w:p>
      <w:pPr>
        <w:ind w:left="576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Gorontalo,  2021</w:t>
      </w:r>
    </w:p>
    <w:p>
      <w:pPr>
        <w:ind w:left="5760" w:firstLine="0"/>
        <w:rPr>
          <w:rFonts w:ascii="Times New Roman" w:hAnsi="Times New Roman" w:eastAsia="Times New Roman" w:cs="Times New Roman"/>
          <w:sz w:val="24"/>
          <w:szCs w:val="24"/>
        </w:rPr>
      </w:pPr>
    </w:p>
    <w:p>
      <w:pPr>
        <w:ind w:left="5760" w:firstLine="0"/>
        <w:rPr>
          <w:rFonts w:ascii="Times New Roman" w:hAnsi="Times New Roman" w:eastAsia="Times New Roman" w:cs="Times New Roman"/>
          <w:sz w:val="24"/>
          <w:szCs w:val="24"/>
        </w:rPr>
      </w:pPr>
    </w:p>
    <w:p>
      <w:pPr>
        <w:ind w:left="5760" w:firstLine="0"/>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WidyawatiMalanua</w:t>
      </w: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DAFTAR ISI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r>
      <w:r>
        <w:rPr>
          <w:rFonts w:ascii="Times New Roman" w:hAnsi="Times New Roman" w:cs="Times New Roman"/>
          <w:sz w:val="24"/>
          <w:szCs w:val="24"/>
        </w:rPr>
        <w:t>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LEMBAR PENGESAHAN SKIPSI</w:t>
      </w:r>
      <w:r>
        <w:rPr>
          <w:rFonts w:ascii="Times New Roman" w:hAnsi="Times New Roman" w:cs="Times New Roman"/>
          <w:sz w:val="24"/>
          <w:szCs w:val="24"/>
        </w:rPr>
        <w:tab/>
      </w:r>
      <w:r>
        <w:rPr>
          <w:rFonts w:ascii="Times New Roman" w:hAnsi="Times New Roman" w:cs="Times New Roman"/>
          <w:sz w:val="24"/>
          <w:szCs w:val="24"/>
        </w:rPr>
        <w:t>ii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r>
      <w:r>
        <w:rPr>
          <w:rFonts w:ascii="Times New Roman" w:hAnsi="Times New Roman" w:cs="Times New Roman"/>
          <w:sz w:val="24"/>
          <w:szCs w:val="24"/>
        </w:rPr>
        <w:t>iii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r>
      <w:r>
        <w:rPr>
          <w:rFonts w:ascii="Times New Roman" w:hAnsi="Times New Roman" w:cs="Times New Roman"/>
          <w:sz w:val="24"/>
          <w:szCs w:val="24"/>
        </w:rPr>
        <w:t>iv</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v</w:t>
      </w:r>
    </w:p>
    <w:p>
      <w:pPr>
        <w:tabs>
          <w:tab w:val="left" w:leader="dot" w:pos="8640"/>
        </w:tabs>
        <w:spacing w:line="360" w:lineRule="auto"/>
        <w:ind w:firstLine="0"/>
        <w:rPr>
          <w:rFonts w:ascii="Times New Roman" w:hAnsi="Times New Roman" w:cs="Times New Roman"/>
          <w:i/>
          <w:sz w:val="24"/>
          <w:szCs w:val="24"/>
        </w:rPr>
      </w:pPr>
      <w:r>
        <w:rPr>
          <w:rFonts w:ascii="Times New Roman" w:hAnsi="Times New Roman" w:cs="Times New Roman"/>
          <w:i/>
          <w:sz w:val="24"/>
          <w:szCs w:val="24"/>
        </w:rPr>
        <w:t>ABSTRAK</w:t>
      </w:r>
      <w:r>
        <w:rPr>
          <w:rFonts w:ascii="Times New Roman" w:hAnsi="Times New Roman" w:cs="Times New Roman"/>
          <w:i/>
          <w:sz w:val="24"/>
          <w:szCs w:val="24"/>
        </w:rPr>
        <w:tab/>
      </w:r>
      <w:r>
        <w:rPr>
          <w:rFonts w:ascii="Times New Roman" w:hAnsi="Times New Roman" w:cs="Times New Roman"/>
          <w:i/>
          <w:sz w:val="24"/>
          <w:szCs w:val="24"/>
        </w:rPr>
        <w:t>vi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vii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Pr>
          <w:rFonts w:ascii="Times New Roman" w:hAnsi="Times New Roman" w:cs="Times New Roman"/>
          <w:sz w:val="24"/>
          <w:szCs w:val="24"/>
        </w:rPr>
        <w:t>ix</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xii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t>xiii</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xiv</w:t>
      </w:r>
    </w:p>
    <w:p>
      <w:pPr>
        <w:tabs>
          <w:tab w:val="left" w:leader="dot" w:pos="8640"/>
        </w:tabs>
        <w:spacing w:line="360" w:lineRule="auto"/>
        <w:ind w:firstLine="0"/>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Pr>
          <w:rFonts w:ascii="Times New Roman" w:hAnsi="Times New Roman" w:cs="Times New Roman"/>
          <w:b/>
          <w:sz w:val="24"/>
          <w:szCs w:val="24"/>
        </w:rPr>
        <w:t>1</w:t>
      </w:r>
    </w:p>
    <w:p>
      <w:pPr>
        <w:pStyle w:val="23"/>
        <w:numPr>
          <w:ilvl w:val="1"/>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1</w:t>
      </w:r>
    </w:p>
    <w:p>
      <w:pPr>
        <w:pStyle w:val="23"/>
        <w:numPr>
          <w:ilvl w:val="1"/>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12</w:t>
      </w:r>
    </w:p>
    <w:p>
      <w:pPr>
        <w:pStyle w:val="23"/>
        <w:numPr>
          <w:ilvl w:val="1"/>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Maksud dan Tujuan Penelitian</w:t>
      </w:r>
      <w:r>
        <w:rPr>
          <w:rFonts w:ascii="Times New Roman" w:hAnsi="Times New Roman" w:cs="Times New Roman"/>
          <w:sz w:val="24"/>
          <w:szCs w:val="24"/>
        </w:rPr>
        <w:tab/>
      </w:r>
      <w:r>
        <w:rPr>
          <w:rFonts w:ascii="Times New Roman" w:hAnsi="Times New Roman" w:cs="Times New Roman"/>
          <w:sz w:val="24"/>
          <w:szCs w:val="24"/>
        </w:rPr>
        <w:t>12</w:t>
      </w:r>
    </w:p>
    <w:p>
      <w:pPr>
        <w:pStyle w:val="23"/>
        <w:numPr>
          <w:ilvl w:val="2"/>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 xml:space="preserve">Maksud Penelitian </w:t>
      </w:r>
      <w:r>
        <w:rPr>
          <w:rFonts w:ascii="Times New Roman" w:hAnsi="Times New Roman" w:cs="Times New Roman"/>
          <w:sz w:val="24"/>
          <w:szCs w:val="24"/>
        </w:rPr>
        <w:tab/>
      </w:r>
      <w:r>
        <w:rPr>
          <w:rFonts w:ascii="Times New Roman" w:hAnsi="Times New Roman" w:cs="Times New Roman"/>
          <w:sz w:val="24"/>
          <w:szCs w:val="24"/>
        </w:rPr>
        <w:t>12</w:t>
      </w:r>
    </w:p>
    <w:p>
      <w:pPr>
        <w:pStyle w:val="23"/>
        <w:numPr>
          <w:ilvl w:val="2"/>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rPr>
        <w:t>13</w:t>
      </w:r>
    </w:p>
    <w:p>
      <w:pPr>
        <w:pStyle w:val="23"/>
        <w:numPr>
          <w:ilvl w:val="1"/>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14</w:t>
      </w:r>
    </w:p>
    <w:p>
      <w:pPr>
        <w:pStyle w:val="23"/>
        <w:numPr>
          <w:ilvl w:val="2"/>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Manfaat Praktis</w:t>
      </w:r>
      <w:r>
        <w:rPr>
          <w:rFonts w:ascii="Times New Roman" w:hAnsi="Times New Roman" w:cs="Times New Roman"/>
          <w:sz w:val="24"/>
          <w:szCs w:val="24"/>
        </w:rPr>
        <w:tab/>
      </w:r>
      <w:r>
        <w:rPr>
          <w:rFonts w:ascii="Times New Roman" w:hAnsi="Times New Roman" w:cs="Times New Roman"/>
          <w:sz w:val="24"/>
          <w:szCs w:val="24"/>
        </w:rPr>
        <w:t>14</w:t>
      </w:r>
    </w:p>
    <w:p>
      <w:pPr>
        <w:pStyle w:val="23"/>
        <w:numPr>
          <w:ilvl w:val="2"/>
          <w:numId w:val="1"/>
        </w:numPr>
        <w:tabs>
          <w:tab w:val="lef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Manfaat Teoritis</w:t>
      </w:r>
      <w:r>
        <w:rPr>
          <w:rFonts w:ascii="Times New Roman" w:hAnsi="Times New Roman" w:cs="Times New Roman"/>
          <w:sz w:val="24"/>
          <w:szCs w:val="24"/>
        </w:rPr>
        <w:tab/>
      </w:r>
      <w:r>
        <w:rPr>
          <w:rFonts w:ascii="Times New Roman" w:hAnsi="Times New Roman" w:cs="Times New Roman"/>
          <w:sz w:val="24"/>
          <w:szCs w:val="24"/>
        </w:rPr>
        <w:t>14</w:t>
      </w:r>
    </w:p>
    <w:p>
      <w:pPr>
        <w:tabs>
          <w:tab w:val="left" w:leader="dot" w:pos="8640"/>
        </w:tabs>
        <w:spacing w:line="360" w:lineRule="auto"/>
        <w:ind w:firstLine="0"/>
        <w:rPr>
          <w:rFonts w:ascii="Times New Roman" w:hAnsi="Times New Roman" w:cs="Times New Roman"/>
          <w:b/>
          <w:sz w:val="24"/>
          <w:szCs w:val="24"/>
        </w:rPr>
      </w:pPr>
      <w:r>
        <w:rPr>
          <w:rFonts w:ascii="Times New Roman" w:hAnsi="Times New Roman" w:cs="Times New Roman"/>
          <w:b/>
          <w:sz w:val="24"/>
          <w:szCs w:val="24"/>
        </w:rPr>
        <w:t>BAB II KAJIAN PUSTAKA,KERANGKA PEMIKIRAN, DAN HIPOTESIS</w:t>
      </w:r>
      <w:r>
        <w:rPr>
          <w:rFonts w:ascii="Times New Roman" w:hAnsi="Times New Roman" w:cs="Times New Roman"/>
          <w:b/>
          <w:sz w:val="24"/>
          <w:szCs w:val="24"/>
        </w:rPr>
        <w:tab/>
      </w:r>
      <w:r>
        <w:rPr>
          <w:rFonts w:ascii="Times New Roman" w:hAnsi="Times New Roman" w:cs="Times New Roman"/>
          <w:b/>
          <w:sz w:val="24"/>
          <w:szCs w:val="24"/>
        </w:rPr>
        <w:t>16</w:t>
      </w:r>
    </w:p>
    <w:p>
      <w:pPr>
        <w:tabs>
          <w:tab w:val="left" w:leader="dot" w:pos="8640"/>
        </w:tabs>
        <w:spacing w:line="360" w:lineRule="auto"/>
        <w:ind w:left="540" w:firstLine="0"/>
        <w:rPr>
          <w:rFonts w:ascii="Times New Roman" w:hAnsi="Times New Roman" w:eastAsia="Times New Roman" w:cs="Times New Roman"/>
          <w:bCs/>
          <w:sz w:val="24"/>
          <w:szCs w:val="24"/>
          <w:lang w:eastAsia="id-ID"/>
        </w:rPr>
      </w:pPr>
      <w:r>
        <w:rPr>
          <w:rFonts w:ascii="Times New Roman" w:hAnsi="Times New Roman" w:cs="Times New Roman"/>
          <w:sz w:val="24"/>
          <w:szCs w:val="24"/>
        </w:rPr>
        <w:t>2.1 Kajian Pustaka</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16</w:t>
      </w:r>
    </w:p>
    <w:p>
      <w:pPr>
        <w:tabs>
          <w:tab w:val="left" w:leader="dot" w:pos="8640"/>
        </w:tabs>
        <w:spacing w:line="360" w:lineRule="auto"/>
        <w:ind w:left="540" w:hanging="27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2.1.5 Hubungan Invesment Opportunity Set, Corrporate Social Responbility dan Risiko Bisnis Terhadap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37</w:t>
      </w:r>
    </w:p>
    <w:p>
      <w:pPr>
        <w:tabs>
          <w:tab w:val="left" w:leader="dot" w:pos="8640"/>
        </w:tabs>
        <w:spacing w:line="360" w:lineRule="auto"/>
        <w:ind w:firstLine="99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2.1.5.1 Hubungan Invesment Opportunity Set dengan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38</w:t>
      </w:r>
    </w:p>
    <w:p>
      <w:pPr>
        <w:tabs>
          <w:tab w:val="left" w:leader="dot" w:pos="8640"/>
        </w:tabs>
        <w:spacing w:line="360" w:lineRule="auto"/>
        <w:ind w:firstLine="99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2.1.5.2 Hubungan Corrporate Social Responbility dengan Nilai</w:t>
      </w:r>
    </w:p>
    <w:p>
      <w:pPr>
        <w:tabs>
          <w:tab w:val="left" w:leader="dot" w:pos="8640"/>
        </w:tabs>
        <w:spacing w:line="360" w:lineRule="auto"/>
        <w:ind w:firstLine="99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 xml:space="preserve">Perusahaan </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38</w:t>
      </w:r>
    </w:p>
    <w:p>
      <w:pPr>
        <w:tabs>
          <w:tab w:val="left" w:leader="dot" w:pos="8640"/>
        </w:tabs>
        <w:spacing w:line="360" w:lineRule="auto"/>
        <w:ind w:firstLine="99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2.1.5.3 Hubungan Risiko Bisnis Dengan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39</w:t>
      </w:r>
    </w:p>
    <w:p>
      <w:pPr>
        <w:tabs>
          <w:tab w:val="left" w:leader="dot" w:pos="8640"/>
        </w:tabs>
        <w:spacing w:line="360" w:lineRule="auto"/>
        <w:ind w:firstLine="54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2.1.6 Penelitian Terdahulu</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40</w:t>
      </w:r>
    </w:p>
    <w:p>
      <w:pPr>
        <w:tabs>
          <w:tab w:val="left" w:leader="dot" w:pos="8640"/>
        </w:tabs>
        <w:spacing w:line="360" w:lineRule="auto"/>
        <w:ind w:firstLine="54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2.2 Kerangka Pikir</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44</w:t>
      </w:r>
    </w:p>
    <w:p>
      <w:pPr>
        <w:tabs>
          <w:tab w:val="left" w:leader="dot" w:pos="8640"/>
        </w:tabs>
        <w:spacing w:line="360" w:lineRule="auto"/>
        <w:ind w:firstLine="54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2.3 Hipotesis</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46</w:t>
      </w:r>
    </w:p>
    <w:p>
      <w:pPr>
        <w:tabs>
          <w:tab w:val="left" w:leader="dot" w:pos="8640"/>
        </w:tabs>
        <w:spacing w:line="360" w:lineRule="auto"/>
        <w:ind w:firstLine="0"/>
        <w:contextualSpacing/>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 xml:space="preserve">BAB III </w:t>
      </w:r>
      <w:r>
        <w:rPr>
          <w:rFonts w:ascii="Times New Roman" w:hAnsi="Times New Roman" w:cs="Times New Roman" w:eastAsiaTheme="minorEastAsia"/>
          <w:b/>
          <w:sz w:val="24"/>
          <w:szCs w:val="24"/>
        </w:rPr>
        <w:t>OBJEK DAN METODE PENELITIAN</w:t>
      </w:r>
      <w:r>
        <w:rPr>
          <w:rFonts w:ascii="Times New Roman" w:hAnsi="Times New Roman" w:eastAsia="Times New Roman" w:cs="Times New Roman"/>
          <w:b/>
          <w:bCs/>
          <w:sz w:val="24"/>
          <w:szCs w:val="24"/>
          <w:lang w:eastAsia="id-ID"/>
        </w:rPr>
        <w:tab/>
      </w:r>
      <w:r>
        <w:rPr>
          <w:rFonts w:ascii="Times New Roman" w:hAnsi="Times New Roman" w:eastAsia="Times New Roman" w:cs="Times New Roman"/>
          <w:b/>
          <w:bCs/>
          <w:sz w:val="24"/>
          <w:szCs w:val="24"/>
          <w:lang w:eastAsia="id-ID"/>
        </w:rPr>
        <w:t>47</w:t>
      </w:r>
    </w:p>
    <w:p>
      <w:pPr>
        <w:tabs>
          <w:tab w:val="left" w:leader="dot" w:pos="8640"/>
        </w:tabs>
        <w:spacing w:line="360" w:lineRule="auto"/>
        <w:ind w:firstLine="540"/>
        <w:contextualSpacing/>
        <w:rPr>
          <w:rFonts w:ascii="Times New Roman" w:hAnsi="Times New Roman" w:eastAsia="Times New Roman" w:cs="Times New Roman"/>
          <w:b/>
          <w:bCs/>
          <w:sz w:val="24"/>
          <w:szCs w:val="24"/>
          <w:lang w:eastAsia="id-ID"/>
        </w:rPr>
      </w:pPr>
      <w:r>
        <w:rPr>
          <w:rFonts w:ascii="Times New Roman" w:hAnsi="Times New Roman" w:eastAsia="Times New Roman" w:cs="Times New Roman"/>
          <w:bCs/>
          <w:sz w:val="24"/>
          <w:szCs w:val="24"/>
          <w:lang w:eastAsia="id-ID"/>
        </w:rPr>
        <w:t xml:space="preserve">3.1 </w:t>
      </w:r>
      <w:r>
        <w:rPr>
          <w:rFonts w:ascii="Times New Roman" w:hAnsi="Times New Roman" w:cs="Times New Roman"/>
          <w:sz w:val="24"/>
          <w:szCs w:val="24"/>
        </w:rPr>
        <w:t>Objek Penelitian</w:t>
      </w:r>
      <w:r>
        <w:rPr>
          <w:rFonts w:ascii="Times New Roman" w:hAnsi="Times New Roman" w:cs="Times New Roman"/>
          <w:sz w:val="24"/>
          <w:szCs w:val="24"/>
        </w:rPr>
        <w:tab/>
      </w:r>
      <w:r>
        <w:rPr>
          <w:rFonts w:ascii="Times New Roman" w:hAnsi="Times New Roman" w:cs="Times New Roman"/>
          <w:sz w:val="24"/>
          <w:szCs w:val="24"/>
        </w:rPr>
        <w:t>47</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cs="Times New Roman"/>
          <w:sz w:val="24"/>
          <w:szCs w:val="24"/>
        </w:rPr>
        <w:t>3.2 Metode Penelitian</w:t>
      </w:r>
      <w:r>
        <w:rPr>
          <w:rFonts w:ascii="Times New Roman" w:hAnsi="Times New Roman" w:cs="Times New Roman"/>
          <w:sz w:val="24"/>
          <w:szCs w:val="24"/>
        </w:rPr>
        <w:tab/>
      </w:r>
      <w:r>
        <w:rPr>
          <w:rFonts w:ascii="Times New Roman" w:hAnsi="Times New Roman" w:cs="Times New Roman"/>
          <w:sz w:val="24"/>
          <w:szCs w:val="24"/>
        </w:rPr>
        <w:t>47</w:t>
      </w:r>
    </w:p>
    <w:p>
      <w:pPr>
        <w:tabs>
          <w:tab w:val="left" w:leader="dot" w:pos="8640"/>
        </w:tabs>
        <w:spacing w:line="360" w:lineRule="auto"/>
        <w:ind w:firstLine="900"/>
        <w:contextualSpacing/>
        <w:rPr>
          <w:rFonts w:ascii="Times New Roman" w:hAnsi="Times New Roman" w:cs="Times New Roman"/>
          <w:sz w:val="24"/>
          <w:szCs w:val="24"/>
        </w:rPr>
      </w:pPr>
      <w:r>
        <w:rPr>
          <w:rFonts w:ascii="Times New Roman" w:hAnsi="Times New Roman" w:cs="Times New Roman"/>
          <w:sz w:val="24"/>
          <w:szCs w:val="24"/>
        </w:rPr>
        <w:t>3.2.1 Metode yang digunakan</w:t>
      </w:r>
      <w:r>
        <w:rPr>
          <w:rFonts w:ascii="Times New Roman" w:hAnsi="Times New Roman" w:cs="Times New Roman"/>
          <w:sz w:val="24"/>
          <w:szCs w:val="24"/>
        </w:rPr>
        <w:tab/>
      </w:r>
      <w:r>
        <w:rPr>
          <w:rFonts w:ascii="Times New Roman" w:hAnsi="Times New Roman" w:cs="Times New Roman"/>
          <w:sz w:val="24"/>
          <w:szCs w:val="24"/>
        </w:rPr>
        <w:t>47</w:t>
      </w:r>
    </w:p>
    <w:p>
      <w:pPr>
        <w:tabs>
          <w:tab w:val="left" w:leader="dot" w:pos="8640"/>
        </w:tabs>
        <w:spacing w:line="360" w:lineRule="auto"/>
        <w:ind w:firstLine="900"/>
        <w:contextualSpacing/>
        <w:rPr>
          <w:rFonts w:ascii="Times New Roman" w:hAnsi="Times New Roman" w:cs="Times New Roman"/>
          <w:sz w:val="24"/>
          <w:szCs w:val="24"/>
        </w:rPr>
      </w:pPr>
      <w:r>
        <w:rPr>
          <w:rFonts w:ascii="Times New Roman" w:hAnsi="Times New Roman" w:cs="Times New Roman"/>
          <w:sz w:val="24"/>
          <w:szCs w:val="24"/>
        </w:rPr>
        <w:t xml:space="preserve">3.2.2 Operasionalisasi Variabel </w:t>
      </w:r>
      <w:r>
        <w:rPr>
          <w:rFonts w:ascii="Times New Roman" w:hAnsi="Times New Roman" w:cs="Times New Roman"/>
          <w:sz w:val="24"/>
          <w:szCs w:val="24"/>
        </w:rPr>
        <w:tab/>
      </w:r>
      <w:r>
        <w:rPr>
          <w:rFonts w:ascii="Times New Roman" w:hAnsi="Times New Roman" w:cs="Times New Roman"/>
          <w:sz w:val="24"/>
          <w:szCs w:val="24"/>
        </w:rPr>
        <w:t>48</w:t>
      </w:r>
    </w:p>
    <w:p>
      <w:pPr>
        <w:tabs>
          <w:tab w:val="left" w:leader="dot" w:pos="8640"/>
        </w:tabs>
        <w:spacing w:line="360" w:lineRule="auto"/>
        <w:ind w:firstLine="900"/>
        <w:contextualSpacing/>
        <w:rPr>
          <w:rFonts w:ascii="Times New Roman" w:hAnsi="Times New Roman" w:cs="Times New Roman"/>
          <w:sz w:val="24"/>
          <w:szCs w:val="24"/>
        </w:rPr>
      </w:pPr>
      <w:r>
        <w:rPr>
          <w:rFonts w:ascii="Times New Roman" w:hAnsi="Times New Roman" w:cs="Times New Roman"/>
          <w:sz w:val="24"/>
          <w:szCs w:val="24"/>
        </w:rPr>
        <w:t>3.2.3 Populasi dan Sampel Penelitian</w:t>
      </w:r>
      <w:r>
        <w:rPr>
          <w:rFonts w:ascii="Times New Roman" w:hAnsi="Times New Roman" w:cs="Times New Roman"/>
          <w:sz w:val="24"/>
          <w:szCs w:val="24"/>
        </w:rPr>
        <w:tab/>
      </w:r>
      <w:r>
        <w:rPr>
          <w:rFonts w:ascii="Times New Roman" w:hAnsi="Times New Roman" w:cs="Times New Roman"/>
          <w:sz w:val="24"/>
          <w:szCs w:val="24"/>
        </w:rPr>
        <w:t>49</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3.2.3.1 Populasi</w:t>
      </w:r>
      <w:r>
        <w:rPr>
          <w:rFonts w:ascii="Times New Roman" w:hAnsi="Times New Roman" w:cs="Times New Roman"/>
          <w:sz w:val="24"/>
          <w:szCs w:val="24"/>
        </w:rPr>
        <w:tab/>
      </w:r>
      <w:r>
        <w:rPr>
          <w:rFonts w:ascii="Times New Roman" w:hAnsi="Times New Roman" w:cs="Times New Roman"/>
          <w:sz w:val="24"/>
          <w:szCs w:val="24"/>
        </w:rPr>
        <w:t>49</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3.2.3.2 Sampel</w:t>
      </w:r>
      <w:r>
        <w:rPr>
          <w:rFonts w:ascii="Times New Roman" w:hAnsi="Times New Roman" w:cs="Times New Roman"/>
          <w:sz w:val="24"/>
          <w:szCs w:val="24"/>
        </w:rPr>
        <w:tab/>
      </w:r>
      <w:r>
        <w:rPr>
          <w:rFonts w:ascii="Times New Roman" w:hAnsi="Times New Roman" w:cs="Times New Roman"/>
          <w:sz w:val="24"/>
          <w:szCs w:val="24"/>
        </w:rPr>
        <w:t>51</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cs="Times New Roman"/>
          <w:sz w:val="24"/>
          <w:szCs w:val="24"/>
        </w:rPr>
        <w:t>3.2.4 Sumber Data dan Cara Pengumpulan Data</w:t>
      </w:r>
      <w:r>
        <w:rPr>
          <w:rFonts w:ascii="Times New Roman" w:hAnsi="Times New Roman" w:cs="Times New Roman"/>
          <w:sz w:val="24"/>
          <w:szCs w:val="24"/>
        </w:rPr>
        <w:tab/>
      </w:r>
      <w:r>
        <w:rPr>
          <w:rFonts w:ascii="Times New Roman" w:hAnsi="Times New Roman" w:cs="Times New Roman"/>
          <w:sz w:val="24"/>
          <w:szCs w:val="24"/>
        </w:rPr>
        <w:t>53</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3.2.4.1 Jenis data</w:t>
      </w:r>
      <w:r>
        <w:rPr>
          <w:rFonts w:ascii="Times New Roman" w:hAnsi="Times New Roman" w:cs="Times New Roman"/>
          <w:sz w:val="24"/>
          <w:szCs w:val="24"/>
        </w:rPr>
        <w:tab/>
      </w:r>
      <w:r>
        <w:rPr>
          <w:rFonts w:ascii="Times New Roman" w:hAnsi="Times New Roman" w:cs="Times New Roman"/>
          <w:sz w:val="24"/>
          <w:szCs w:val="24"/>
        </w:rPr>
        <w:t>53</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3.2.4.2 Sumber Data</w:t>
      </w:r>
      <w:r>
        <w:rPr>
          <w:rFonts w:ascii="Times New Roman" w:hAnsi="Times New Roman" w:cs="Times New Roman"/>
          <w:sz w:val="24"/>
          <w:szCs w:val="24"/>
        </w:rPr>
        <w:tab/>
      </w:r>
      <w:r>
        <w:rPr>
          <w:rFonts w:ascii="Times New Roman" w:hAnsi="Times New Roman" w:cs="Times New Roman"/>
          <w:sz w:val="24"/>
          <w:szCs w:val="24"/>
        </w:rPr>
        <w:t>52</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3.2.4.3 Cara Pengumpulan Data</w:t>
      </w:r>
      <w:r>
        <w:rPr>
          <w:rFonts w:ascii="Times New Roman" w:hAnsi="Times New Roman" w:cs="Times New Roman"/>
          <w:sz w:val="24"/>
          <w:szCs w:val="24"/>
        </w:rPr>
        <w:tab/>
      </w:r>
      <w:r>
        <w:rPr>
          <w:rFonts w:ascii="Times New Roman" w:hAnsi="Times New Roman" w:cs="Times New Roman"/>
          <w:sz w:val="24"/>
          <w:szCs w:val="24"/>
        </w:rPr>
        <w:t>54</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cs="Times New Roman"/>
          <w:sz w:val="24"/>
          <w:szCs w:val="24"/>
        </w:rPr>
        <w:t xml:space="preserve">3.2.5 Prosedur Pengujian dan Instrumen Penelitian </w:t>
      </w:r>
      <w:r>
        <w:rPr>
          <w:rFonts w:ascii="Times New Roman" w:hAnsi="Times New Roman" w:cs="Times New Roman"/>
          <w:sz w:val="24"/>
          <w:szCs w:val="24"/>
        </w:rPr>
        <w:tab/>
      </w:r>
      <w:r>
        <w:rPr>
          <w:rFonts w:ascii="Times New Roman" w:hAnsi="Times New Roman" w:cs="Times New Roman"/>
          <w:sz w:val="24"/>
          <w:szCs w:val="24"/>
        </w:rPr>
        <w:t>54</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3.2.5.1 Analisis Instrumen Penelitian</w:t>
      </w:r>
      <w:r>
        <w:rPr>
          <w:rFonts w:ascii="Times New Roman" w:hAnsi="Times New Roman" w:cs="Times New Roman"/>
          <w:sz w:val="24"/>
          <w:szCs w:val="24"/>
        </w:rPr>
        <w:tab/>
      </w:r>
      <w:r>
        <w:rPr>
          <w:rFonts w:ascii="Times New Roman" w:hAnsi="Times New Roman" w:cs="Times New Roman"/>
          <w:sz w:val="24"/>
          <w:szCs w:val="24"/>
        </w:rPr>
        <w:t>54</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3.2.5.2 Uji Asumsi Klasik</w:t>
      </w:r>
      <w:r>
        <w:rPr>
          <w:rFonts w:ascii="Times New Roman" w:hAnsi="Times New Roman" w:cs="Times New Roman"/>
          <w:sz w:val="24"/>
          <w:szCs w:val="24"/>
        </w:rPr>
        <w:tab/>
      </w:r>
      <w:r>
        <w:rPr>
          <w:rFonts w:ascii="Times New Roman" w:hAnsi="Times New Roman" w:cs="Times New Roman"/>
          <w:sz w:val="24"/>
          <w:szCs w:val="24"/>
        </w:rPr>
        <w:t>55</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cs="Times New Roman"/>
          <w:sz w:val="24"/>
          <w:szCs w:val="24"/>
        </w:rPr>
        <w:t>3.2.6 Rencana Uji Hipotesis</w:t>
      </w:r>
      <w:r>
        <w:rPr>
          <w:rFonts w:ascii="Times New Roman" w:hAnsi="Times New Roman" w:cs="Times New Roman"/>
          <w:sz w:val="24"/>
          <w:szCs w:val="24"/>
        </w:rPr>
        <w:tab/>
      </w:r>
      <w:r>
        <w:rPr>
          <w:rFonts w:ascii="Times New Roman" w:hAnsi="Times New Roman" w:cs="Times New Roman"/>
          <w:sz w:val="24"/>
          <w:szCs w:val="24"/>
        </w:rPr>
        <w:t>58</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3.2.6.1 Uji Koefisien Determinasi</w:t>
      </w:r>
      <w:r>
        <w:rPr>
          <w:rFonts w:ascii="Times New Roman" w:hAnsi="Times New Roman" w:cs="Times New Roman"/>
          <w:sz w:val="24"/>
          <w:szCs w:val="24"/>
        </w:rPr>
        <w:tab/>
      </w:r>
      <w:r>
        <w:rPr>
          <w:rFonts w:ascii="Times New Roman" w:hAnsi="Times New Roman" w:cs="Times New Roman"/>
          <w:sz w:val="24"/>
          <w:szCs w:val="24"/>
        </w:rPr>
        <w:t>58</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3.2.6.2 Uji Hipotes (Uji F)</w:t>
      </w:r>
      <w:r>
        <w:rPr>
          <w:rFonts w:ascii="Times New Roman" w:hAnsi="Times New Roman" w:cs="Times New Roman"/>
          <w:sz w:val="24"/>
          <w:szCs w:val="24"/>
        </w:rPr>
        <w:tab/>
      </w:r>
      <w:r>
        <w:rPr>
          <w:rFonts w:ascii="Times New Roman" w:hAnsi="Times New Roman" w:cs="Times New Roman"/>
          <w:sz w:val="24"/>
          <w:szCs w:val="24"/>
        </w:rPr>
        <w:t>58</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3.2.6.3 Uji Hipotesis (Uji t)</w:t>
      </w:r>
      <w:r>
        <w:rPr>
          <w:rFonts w:ascii="Times New Roman" w:hAnsi="Times New Roman" w:cs="Times New Roman"/>
          <w:sz w:val="24"/>
          <w:szCs w:val="24"/>
        </w:rPr>
        <w:tab/>
      </w:r>
      <w:r>
        <w:rPr>
          <w:rFonts w:ascii="Times New Roman" w:hAnsi="Times New Roman" w:cs="Times New Roman"/>
          <w:sz w:val="24"/>
          <w:szCs w:val="24"/>
        </w:rPr>
        <w:t>58</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 xml:space="preserve">3.2.6.3 Model/Gambar </w:t>
      </w:r>
      <w:r>
        <w:rPr>
          <w:rFonts w:ascii="Times New Roman" w:hAnsi="Times New Roman" w:cs="Times New Roman"/>
          <w:sz w:val="24"/>
          <w:szCs w:val="24"/>
        </w:rPr>
        <w:tab/>
      </w:r>
      <w:r>
        <w:rPr>
          <w:rFonts w:ascii="Times New Roman" w:hAnsi="Times New Roman" w:cs="Times New Roman"/>
          <w:sz w:val="24"/>
          <w:szCs w:val="24"/>
        </w:rPr>
        <w:t>59</w:t>
      </w:r>
    </w:p>
    <w:p>
      <w:pPr>
        <w:tabs>
          <w:tab w:val="left" w:leader="dot" w:pos="8640"/>
        </w:tabs>
        <w:spacing w:line="360" w:lineRule="auto"/>
        <w:ind w:firstLine="0"/>
        <w:contextualSpacing/>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 xml:space="preserve">BAB IV HASIL PENELITIAN DAN PEMBAHASAN </w:t>
      </w:r>
      <w:r>
        <w:rPr>
          <w:rFonts w:ascii="Times New Roman" w:hAnsi="Times New Roman" w:eastAsia="Times New Roman" w:cs="Times New Roman"/>
          <w:b/>
          <w:bCs/>
          <w:sz w:val="24"/>
          <w:szCs w:val="24"/>
          <w:lang w:eastAsia="id-ID"/>
        </w:rPr>
        <w:tab/>
      </w:r>
      <w:r>
        <w:rPr>
          <w:rFonts w:ascii="Times New Roman" w:hAnsi="Times New Roman" w:eastAsia="Times New Roman" w:cs="Times New Roman"/>
          <w:b/>
          <w:bCs/>
          <w:sz w:val="24"/>
          <w:szCs w:val="24"/>
          <w:lang w:eastAsia="id-ID"/>
        </w:rPr>
        <w:t>61</w:t>
      </w:r>
    </w:p>
    <w:p>
      <w:pPr>
        <w:tabs>
          <w:tab w:val="left" w:leader="dot" w:pos="8640"/>
        </w:tabs>
        <w:spacing w:line="360" w:lineRule="auto"/>
        <w:ind w:firstLine="54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4.1 Deskripsi Objek Penelitian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61</w:t>
      </w:r>
    </w:p>
    <w:p>
      <w:pPr>
        <w:tabs>
          <w:tab w:val="left" w:leader="dot" w:pos="8640"/>
        </w:tabs>
        <w:spacing w:line="360" w:lineRule="auto"/>
        <w:ind w:firstLine="54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4.2 Deskrpsi Variabel Penelitian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95</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cs="Times New Roman"/>
          <w:sz w:val="24"/>
          <w:szCs w:val="24"/>
        </w:rPr>
        <w:t>4.3 Analisis Statistik Deskriptif</w:t>
      </w:r>
      <w:r>
        <w:rPr>
          <w:rFonts w:ascii="Times New Roman" w:hAnsi="Times New Roman" w:cs="Times New Roman"/>
          <w:sz w:val="24"/>
          <w:szCs w:val="24"/>
        </w:rPr>
        <w:tab/>
      </w:r>
      <w:r>
        <w:rPr>
          <w:rFonts w:ascii="Times New Roman" w:hAnsi="Times New Roman" w:cs="Times New Roman"/>
          <w:sz w:val="24"/>
          <w:szCs w:val="24"/>
        </w:rPr>
        <w:t>109</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cs="Times New Roman"/>
          <w:sz w:val="24"/>
          <w:szCs w:val="24"/>
        </w:rPr>
        <w:t>4.3 Uji Asumsi Klasik</w:t>
      </w:r>
      <w:r>
        <w:rPr>
          <w:rFonts w:ascii="Times New Roman" w:hAnsi="Times New Roman" w:cs="Times New Roman"/>
          <w:sz w:val="24"/>
          <w:szCs w:val="24"/>
        </w:rPr>
        <w:tab/>
      </w:r>
      <w:r>
        <w:rPr>
          <w:rFonts w:ascii="Times New Roman" w:hAnsi="Times New Roman" w:cs="Times New Roman"/>
          <w:sz w:val="24"/>
          <w:szCs w:val="24"/>
        </w:rPr>
        <w:t>111</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4.3.1UjiNormalitas...................................................................................</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112</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4.3.2 Uji Multikolinieritas........................................................</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113</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4.3.3 Uji Autokorelasi........................................................</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114</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4.3.4 Uji Heteroskedastisitas</w:t>
      </w:r>
      <w:r>
        <w:rPr>
          <w:rFonts w:ascii="Times New Roman" w:hAnsi="Times New Roman" w:cs="Times New Roman"/>
          <w:sz w:val="24"/>
          <w:szCs w:val="24"/>
        </w:rPr>
        <w:t xml:space="preserve"> ………</w:t>
      </w:r>
      <w:r>
        <w:rPr>
          <w:rFonts w:ascii="Times New Roman" w:hAnsi="Times New Roman" w:eastAsia="Times New Roman" w:cs="Times New Roman"/>
          <w:bCs/>
          <w:sz w:val="24"/>
          <w:szCs w:val="24"/>
          <w:lang w:eastAsia="id-ID"/>
        </w:rPr>
        <w:t>..............................................</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115</w:t>
      </w:r>
    </w:p>
    <w:p>
      <w:pPr>
        <w:tabs>
          <w:tab w:val="left" w:leader="dot" w:pos="8640"/>
        </w:tabs>
        <w:spacing w:line="360" w:lineRule="auto"/>
        <w:ind w:firstLine="54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4.4 Analisis Regresi Berganda</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117</w:t>
      </w:r>
    </w:p>
    <w:p>
      <w:pPr>
        <w:tabs>
          <w:tab w:val="left" w:leader="dot" w:pos="8640"/>
        </w:tabs>
        <w:spacing w:line="360" w:lineRule="auto"/>
        <w:ind w:firstLine="54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4.5 Uji Hipotesis</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119</w:t>
      </w:r>
    </w:p>
    <w:p>
      <w:pPr>
        <w:tabs>
          <w:tab w:val="left" w:leader="dot" w:pos="8640"/>
        </w:tabs>
        <w:spacing w:line="360" w:lineRule="auto"/>
        <w:contextualSpacing/>
        <w:jc w:val="center"/>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 xml:space="preserve">        4.5.1 </w:t>
      </w:r>
      <w:r>
        <w:rPr>
          <w:rFonts w:ascii="Times New Roman" w:hAnsi="Times New Roman" w:cs="Times New Roman"/>
          <w:sz w:val="24"/>
          <w:szCs w:val="24"/>
        </w:rPr>
        <w:t>Uji Koefisien Determinasi (R₂)</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120</w:t>
      </w:r>
    </w:p>
    <w:p>
      <w:pPr>
        <w:tabs>
          <w:tab w:val="left" w:leader="dot" w:pos="8640"/>
        </w:tabs>
        <w:spacing w:line="360" w:lineRule="auto"/>
        <w:ind w:firstLine="108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 xml:space="preserve">4.5.2 </w:t>
      </w:r>
      <w:r>
        <w:rPr>
          <w:rFonts w:ascii="Times New Roman" w:hAnsi="Times New Roman" w:cs="Times New Roman"/>
          <w:sz w:val="24"/>
          <w:szCs w:val="24"/>
        </w:rPr>
        <w:t>Uji Simultan ( F)</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121</w:t>
      </w:r>
    </w:p>
    <w:p>
      <w:pPr>
        <w:tabs>
          <w:tab w:val="left" w:leader="dot" w:pos="8640"/>
        </w:tabs>
        <w:spacing w:line="360" w:lineRule="auto"/>
        <w:ind w:firstLine="1080"/>
        <w:contextualSpacing/>
        <w:rPr>
          <w:rFonts w:ascii="Times New Roman" w:hAnsi="Times New Roman" w:cs="Times New Roman"/>
          <w:sz w:val="24"/>
          <w:szCs w:val="24"/>
        </w:rPr>
      </w:pPr>
      <w:r>
        <w:rPr>
          <w:rFonts w:ascii="Times New Roman" w:hAnsi="Times New Roman" w:eastAsia="Times New Roman" w:cs="Times New Roman"/>
          <w:bCs/>
          <w:sz w:val="24"/>
          <w:szCs w:val="24"/>
          <w:lang w:eastAsia="id-ID"/>
        </w:rPr>
        <w:t xml:space="preserve">4.5.3 </w:t>
      </w:r>
      <w:r>
        <w:rPr>
          <w:rFonts w:ascii="Times New Roman" w:hAnsi="Times New Roman" w:cs="Times New Roman"/>
          <w:sz w:val="24"/>
          <w:szCs w:val="24"/>
        </w:rPr>
        <w:t>Uji Statistik Parsial (t)</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121</w:t>
      </w:r>
    </w:p>
    <w:p>
      <w:pPr>
        <w:tabs>
          <w:tab w:val="left" w:leader="dot" w:pos="8640"/>
        </w:tabs>
        <w:spacing w:line="360" w:lineRule="auto"/>
        <w:ind w:firstLine="540"/>
        <w:contextualSpacing/>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4.6 PEMBAHASAN</w:t>
      </w:r>
      <w:r>
        <w:rPr>
          <w:rFonts w:ascii="Times New Roman" w:hAnsi="Times New Roman" w:eastAsia="Times New Roman" w:cs="Times New Roman"/>
          <w:b/>
          <w:bCs/>
          <w:sz w:val="24"/>
          <w:szCs w:val="24"/>
          <w:lang w:eastAsia="id-ID"/>
        </w:rPr>
        <w:tab/>
      </w:r>
      <w:r>
        <w:rPr>
          <w:rFonts w:ascii="Times New Roman" w:hAnsi="Times New Roman" w:eastAsia="Times New Roman" w:cs="Times New Roman"/>
          <w:b/>
          <w:bCs/>
          <w:sz w:val="24"/>
          <w:szCs w:val="24"/>
          <w:lang w:eastAsia="id-ID"/>
        </w:rPr>
        <w:t>125</w:t>
      </w:r>
    </w:p>
    <w:p>
      <w:pPr>
        <w:tabs>
          <w:tab w:val="left" w:leader="dot" w:pos="8640"/>
        </w:tabs>
        <w:spacing w:line="360" w:lineRule="auto"/>
        <w:ind w:left="1080" w:firstLine="0"/>
        <w:rPr>
          <w:rFonts w:ascii="Times New Roman" w:hAnsi="Times New Roman" w:cs="Times New Roman"/>
          <w:sz w:val="24"/>
          <w:szCs w:val="24"/>
        </w:rPr>
      </w:pPr>
      <w:r>
        <w:rPr>
          <w:rFonts w:ascii="Times New Roman" w:hAnsi="Times New Roman" w:eastAsia="Times New Roman" w:cs="Times New Roman"/>
          <w:bCs/>
          <w:sz w:val="24"/>
          <w:szCs w:val="24"/>
          <w:lang w:eastAsia="id-ID"/>
        </w:rPr>
        <w:t xml:space="preserve">4.6.1 </w:t>
      </w:r>
      <w:r>
        <w:rPr>
          <w:rFonts w:ascii="Times New Roman" w:hAnsi="Times New Roman" w:cs="Times New Roman"/>
          <w:sz w:val="24"/>
          <w:szCs w:val="24"/>
        </w:rPr>
        <w:t>Pengaruh Invesment Oportunity Set yang terdiri dari Market To Book Value  Equity Terhadap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125</w:t>
      </w:r>
    </w:p>
    <w:p>
      <w:pPr>
        <w:tabs>
          <w:tab w:val="left" w:leader="dot" w:pos="8640"/>
        </w:tabs>
        <w:spacing w:line="360" w:lineRule="auto"/>
        <w:ind w:left="1080" w:firstLine="0"/>
        <w:rPr>
          <w:rFonts w:ascii="Times New Roman" w:hAnsi="Times New Roman" w:cs="Times New Roman"/>
          <w:sz w:val="24"/>
          <w:szCs w:val="24"/>
        </w:rPr>
      </w:pPr>
      <w:r>
        <w:rPr>
          <w:rFonts w:ascii="Times New Roman" w:hAnsi="Times New Roman" w:eastAsia="Times New Roman" w:cs="Times New Roman"/>
          <w:bCs/>
          <w:sz w:val="24"/>
          <w:szCs w:val="24"/>
          <w:lang w:eastAsia="id-ID"/>
        </w:rPr>
        <w:t xml:space="preserve">4.6.2 </w:t>
      </w:r>
      <w:r>
        <w:rPr>
          <w:rFonts w:ascii="Times New Roman" w:hAnsi="Times New Roman" w:cs="Times New Roman"/>
          <w:sz w:val="24"/>
          <w:szCs w:val="24"/>
        </w:rPr>
        <w:t>Pengaruh Invesment Oportunity Set yang terdiri dari Capital Expenditure To Book Value Assets Terhadap Nilai Perusahaan</w:t>
      </w:r>
      <w:r>
        <w:rPr>
          <w:rFonts w:ascii="Times New Roman" w:hAnsi="Times New Roman" w:cs="Times New Roman"/>
          <w:sz w:val="24"/>
          <w:szCs w:val="24"/>
        </w:rPr>
        <w:tab/>
      </w:r>
      <w:r>
        <w:rPr>
          <w:rFonts w:ascii="Times New Roman" w:hAnsi="Times New Roman" w:cs="Times New Roman"/>
          <w:sz w:val="24"/>
          <w:szCs w:val="24"/>
        </w:rPr>
        <w:t>127</w:t>
      </w:r>
    </w:p>
    <w:p>
      <w:pPr>
        <w:tabs>
          <w:tab w:val="left" w:leader="dot" w:pos="8640"/>
        </w:tabs>
        <w:spacing w:line="360" w:lineRule="auto"/>
        <w:ind w:left="1080" w:firstLine="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 xml:space="preserve">4.6.3 Pengaruh Corrporate Social Responbility dengan Nilai Perusahaan </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129</w:t>
      </w:r>
    </w:p>
    <w:p>
      <w:pPr>
        <w:pStyle w:val="23"/>
        <w:numPr>
          <w:ilvl w:val="2"/>
          <w:numId w:val="2"/>
        </w:numPr>
        <w:tabs>
          <w:tab w:val="left" w:leader="dot" w:pos="8640"/>
        </w:tabs>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Pengaruh Risiko Bisnis Dengan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132</w:t>
      </w:r>
    </w:p>
    <w:p>
      <w:pPr>
        <w:pStyle w:val="23"/>
        <w:numPr>
          <w:ilvl w:val="2"/>
          <w:numId w:val="2"/>
        </w:numPr>
        <w:tabs>
          <w:tab w:val="left" w:leader="dot" w:pos="8640"/>
        </w:tabs>
        <w:spacing w:line="360" w:lineRule="auto"/>
        <w:rPr>
          <w:rFonts w:ascii="Times New Roman" w:hAnsi="Times New Roman" w:eastAsia="Times New Roman" w:cs="Times New Roman"/>
          <w:bCs/>
          <w:sz w:val="24"/>
          <w:szCs w:val="24"/>
          <w:lang w:eastAsia="id-ID"/>
        </w:rPr>
      </w:pPr>
      <w:r>
        <w:rPr>
          <w:rFonts w:ascii="Times New Roman" w:hAnsi="Times New Roman" w:cs="Times New Roman"/>
          <w:sz w:val="24"/>
          <w:szCs w:val="24"/>
        </w:rPr>
        <w:t>Pengaruh Invesment Opportunity Set, Corrporate Social Responbility Dan Risiko Bisnis Terhadap Nilai Perusahaan</w:t>
      </w:r>
      <w:r>
        <w:rPr>
          <w:rFonts w:ascii="Times New Roman" w:hAnsi="Times New Roman" w:cs="Times New Roman"/>
          <w:sz w:val="24"/>
          <w:szCs w:val="24"/>
        </w:rPr>
        <w:tab/>
      </w:r>
      <w:r>
        <w:rPr>
          <w:rFonts w:ascii="Times New Roman" w:hAnsi="Times New Roman" w:cs="Times New Roman"/>
          <w:sz w:val="24"/>
          <w:szCs w:val="24"/>
        </w:rPr>
        <w:t>134</w:t>
      </w:r>
    </w:p>
    <w:p>
      <w:pPr>
        <w:tabs>
          <w:tab w:val="left" w:leader="dot" w:pos="8640"/>
        </w:tabs>
        <w:spacing w:line="360" w:lineRule="auto"/>
        <w:ind w:firstLine="0"/>
        <w:contextualSpacing/>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 xml:space="preserve">BAB  V KESIMPULAN DAN SARAN </w:t>
      </w:r>
      <w:r>
        <w:rPr>
          <w:rFonts w:ascii="Times New Roman" w:hAnsi="Times New Roman" w:eastAsia="Times New Roman" w:cs="Times New Roman"/>
          <w:b/>
          <w:bCs/>
          <w:sz w:val="24"/>
          <w:szCs w:val="24"/>
          <w:lang w:eastAsia="id-ID"/>
        </w:rPr>
        <w:tab/>
      </w:r>
      <w:r>
        <w:rPr>
          <w:rFonts w:ascii="Times New Roman" w:hAnsi="Times New Roman" w:eastAsia="Times New Roman" w:cs="Times New Roman"/>
          <w:b/>
          <w:bCs/>
          <w:sz w:val="24"/>
          <w:szCs w:val="24"/>
          <w:lang w:eastAsia="id-ID"/>
        </w:rPr>
        <w:t>138</w:t>
      </w:r>
    </w:p>
    <w:p>
      <w:pPr>
        <w:tabs>
          <w:tab w:val="left" w:leader="dot" w:pos="8640"/>
        </w:tabs>
        <w:spacing w:line="360" w:lineRule="auto"/>
        <w:ind w:left="1080"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5.1 Kesimpulan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138</w:t>
      </w:r>
    </w:p>
    <w:p>
      <w:pPr>
        <w:tabs>
          <w:tab w:val="left" w:leader="dot" w:pos="8640"/>
        </w:tabs>
        <w:spacing w:line="360" w:lineRule="auto"/>
        <w:ind w:left="1080"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5.2 Saran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138</w:t>
      </w:r>
    </w:p>
    <w:p>
      <w:pPr>
        <w:spacing w:line="360" w:lineRule="auto"/>
        <w:ind w:left="720" w:hanging="72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DAFTAR PUSTAKA</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ab/>
      </w:r>
    </w:p>
    <w:p>
      <w:pPr>
        <w:spacing w:line="360" w:lineRule="auto"/>
        <w:ind w:left="720" w:hanging="72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JADWAL PENELITIAN</w:t>
      </w:r>
    </w:p>
    <w:p>
      <w:pPr>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br w:type="page"/>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DAFTAR TABEL </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1.1 Rata-Rata dan Pertumbuhan (Harga Saham) Sub Sektor Perbankan</w:t>
      </w:r>
      <w:r>
        <w:rPr>
          <w:rFonts w:ascii="Times New Roman" w:hAnsi="Times New Roman" w:cs="Times New Roman"/>
          <w:sz w:val="24"/>
          <w:szCs w:val="24"/>
        </w:rPr>
        <w:tab/>
      </w:r>
      <w:r>
        <w:rPr>
          <w:rFonts w:ascii="Times New Roman" w:hAnsi="Times New Roman" w:cs="Times New Roman"/>
          <w:sz w:val="24"/>
          <w:szCs w:val="24"/>
        </w:rPr>
        <w:t>6</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3.1 Operasionalisasi Variabel</w:t>
      </w:r>
      <w:r>
        <w:rPr>
          <w:rFonts w:ascii="Times New Roman" w:hAnsi="Times New Roman" w:cs="Times New Roman"/>
          <w:sz w:val="24"/>
          <w:szCs w:val="24"/>
        </w:rPr>
        <w:tab/>
      </w:r>
      <w:r>
        <w:rPr>
          <w:rFonts w:ascii="Times New Roman" w:hAnsi="Times New Roman" w:cs="Times New Roman"/>
          <w:sz w:val="24"/>
          <w:szCs w:val="24"/>
        </w:rPr>
        <w:t>48</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3.2 Daftar Perusahaan Sub Sektor Perbankan</w:t>
      </w:r>
      <w:r>
        <w:rPr>
          <w:rFonts w:ascii="Times New Roman" w:hAnsi="Times New Roman" w:cs="Times New Roman"/>
          <w:sz w:val="24"/>
          <w:szCs w:val="24"/>
        </w:rPr>
        <w:tab/>
      </w:r>
      <w:r>
        <w:rPr>
          <w:rFonts w:ascii="Times New Roman" w:hAnsi="Times New Roman" w:cs="Times New Roman"/>
          <w:sz w:val="24"/>
          <w:szCs w:val="24"/>
        </w:rPr>
        <w:t>50</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3.3 Daftar Sampel Sub Sektor Perbankan</w:t>
      </w:r>
      <w:r>
        <w:rPr>
          <w:rFonts w:ascii="Times New Roman" w:hAnsi="Times New Roman" w:cs="Times New Roman"/>
          <w:sz w:val="24"/>
          <w:szCs w:val="24"/>
        </w:rPr>
        <w:tab/>
      </w:r>
      <w:r>
        <w:rPr>
          <w:rFonts w:ascii="Times New Roman" w:hAnsi="Times New Roman" w:cs="Times New Roman"/>
          <w:sz w:val="24"/>
          <w:szCs w:val="24"/>
        </w:rPr>
        <w:t>52</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4.1 Hasil Analisi Statistik Deskriptif</w:t>
      </w:r>
      <w:r>
        <w:rPr>
          <w:rFonts w:ascii="Times New Roman" w:hAnsi="Times New Roman" w:cs="Times New Roman"/>
          <w:sz w:val="24"/>
          <w:szCs w:val="24"/>
        </w:rPr>
        <w:tab/>
      </w:r>
      <w:r>
        <w:rPr>
          <w:rFonts w:ascii="Times New Roman" w:hAnsi="Times New Roman" w:cs="Times New Roman"/>
          <w:sz w:val="24"/>
          <w:szCs w:val="24"/>
        </w:rPr>
        <w:t>110</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4.2 Kolmogrove Smirnov</w:t>
      </w:r>
      <w:r>
        <w:rPr>
          <w:rFonts w:ascii="Times New Roman" w:hAnsi="Times New Roman" w:cs="Times New Roman"/>
          <w:sz w:val="24"/>
          <w:szCs w:val="24"/>
        </w:rPr>
        <w:tab/>
      </w:r>
      <w:r>
        <w:rPr>
          <w:rFonts w:ascii="Times New Roman" w:hAnsi="Times New Roman" w:cs="Times New Roman"/>
          <w:sz w:val="24"/>
          <w:szCs w:val="24"/>
        </w:rPr>
        <w:t>112</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4.3 Uji Multikolinieritas</w:t>
      </w:r>
      <w:r>
        <w:rPr>
          <w:rFonts w:ascii="Times New Roman" w:hAnsi="Times New Roman" w:cs="Times New Roman"/>
          <w:sz w:val="24"/>
          <w:szCs w:val="24"/>
        </w:rPr>
        <w:tab/>
      </w:r>
      <w:r>
        <w:rPr>
          <w:rFonts w:ascii="Times New Roman" w:hAnsi="Times New Roman" w:cs="Times New Roman"/>
          <w:sz w:val="24"/>
          <w:szCs w:val="24"/>
        </w:rPr>
        <w:t>113</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4.3 Uji Autokorelasi</w:t>
      </w:r>
      <w:r>
        <w:rPr>
          <w:rFonts w:ascii="Times New Roman" w:hAnsi="Times New Roman" w:cs="Times New Roman"/>
          <w:sz w:val="24"/>
          <w:szCs w:val="24"/>
        </w:rPr>
        <w:tab/>
      </w:r>
      <w:r>
        <w:rPr>
          <w:rFonts w:ascii="Times New Roman" w:hAnsi="Times New Roman" w:cs="Times New Roman"/>
          <w:sz w:val="24"/>
          <w:szCs w:val="24"/>
        </w:rPr>
        <w:t>115</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Tabel Uji Heteroskedastisitas</w:t>
      </w:r>
      <w:r>
        <w:rPr>
          <w:rFonts w:ascii="Times New Roman" w:hAnsi="Times New Roman" w:cs="Times New Roman"/>
          <w:sz w:val="24"/>
          <w:szCs w:val="24"/>
        </w:rPr>
        <w:tab/>
      </w:r>
      <w:r>
        <w:rPr>
          <w:rFonts w:ascii="Times New Roman" w:hAnsi="Times New Roman" w:cs="Times New Roman"/>
          <w:sz w:val="24"/>
          <w:szCs w:val="24"/>
        </w:rPr>
        <w:t>116</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Tabel 4.6 Hasil Regresi Berganda </w:t>
      </w:r>
      <w:r>
        <w:rPr>
          <w:rFonts w:ascii="Times New Roman" w:hAnsi="Times New Roman" w:cs="Times New Roman"/>
          <w:sz w:val="24"/>
          <w:szCs w:val="24"/>
        </w:rPr>
        <w:tab/>
      </w:r>
      <w:r>
        <w:rPr>
          <w:rFonts w:ascii="Times New Roman" w:hAnsi="Times New Roman" w:cs="Times New Roman"/>
          <w:sz w:val="24"/>
          <w:szCs w:val="24"/>
        </w:rPr>
        <w:t>117</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Tabel 4.7 Hasil Koefisien Determinasi (R2) .............................. </w:t>
      </w:r>
      <w:r>
        <w:rPr>
          <w:rFonts w:ascii="Times New Roman" w:hAnsi="Times New Roman" w:cs="Times New Roman"/>
          <w:sz w:val="24"/>
          <w:szCs w:val="24"/>
        </w:rPr>
        <w:tab/>
      </w:r>
      <w:r>
        <w:rPr>
          <w:rFonts w:ascii="Times New Roman" w:hAnsi="Times New Roman" w:cs="Times New Roman"/>
          <w:sz w:val="24"/>
          <w:szCs w:val="24"/>
        </w:rPr>
        <w:t>119</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Tabel 4.8 Hasil Uji Hipotesis................................................................  </w:t>
      </w:r>
      <w:r>
        <w:rPr>
          <w:rFonts w:ascii="Times New Roman" w:hAnsi="Times New Roman" w:cs="Times New Roman"/>
          <w:sz w:val="24"/>
          <w:szCs w:val="24"/>
        </w:rPr>
        <w:tab/>
      </w:r>
      <w:r>
        <w:rPr>
          <w:rFonts w:ascii="Times New Roman" w:hAnsi="Times New Roman" w:cs="Times New Roman"/>
          <w:sz w:val="24"/>
          <w:szCs w:val="24"/>
        </w:rPr>
        <w:t>120</w:t>
      </w:r>
    </w:p>
    <w:p>
      <w:pPr>
        <w:spacing w:line="360" w:lineRule="auto"/>
        <w:jc w:val="center"/>
        <w:rPr>
          <w:rFonts w:ascii="Times New Roman" w:hAnsi="Times New Roman" w:cs="Times New Roman"/>
          <w:b/>
          <w:sz w:val="24"/>
          <w:szCs w:val="24"/>
        </w:rPr>
      </w:pPr>
    </w:p>
    <w:p>
      <w:pPr>
        <w:ind w:left="720" w:hanging="720"/>
        <w:rPr>
          <w:rFonts w:ascii="Times New Roman" w:hAnsi="Times New Roman" w:cs="Times New Roman"/>
          <w:sz w:val="24"/>
          <w:szCs w:val="24"/>
        </w:rPr>
      </w:pPr>
    </w:p>
    <w:p>
      <w:pPr>
        <w:ind w:left="720" w:hanging="720"/>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t>DAFTAR GAMBAR</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Gambar 2.1 Kerangka pikir</w:t>
      </w:r>
      <w:r>
        <w:rPr>
          <w:rFonts w:ascii="Times New Roman" w:hAnsi="Times New Roman" w:cs="Times New Roman"/>
          <w:sz w:val="24"/>
          <w:szCs w:val="24"/>
        </w:rPr>
        <w:tab/>
      </w:r>
      <w:r>
        <w:rPr>
          <w:rFonts w:ascii="Times New Roman" w:hAnsi="Times New Roman" w:cs="Times New Roman"/>
          <w:sz w:val="24"/>
          <w:szCs w:val="24"/>
        </w:rPr>
        <w:t>45</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Gambar 3.1 Kerangka Konseptual</w:t>
      </w:r>
      <w:r>
        <w:rPr>
          <w:rFonts w:ascii="Times New Roman" w:hAnsi="Times New Roman" w:cs="Times New Roman"/>
          <w:sz w:val="24"/>
          <w:szCs w:val="24"/>
        </w:rPr>
        <w:tab/>
      </w:r>
      <w:r>
        <w:rPr>
          <w:rFonts w:ascii="Times New Roman" w:hAnsi="Times New Roman" w:cs="Times New Roman"/>
          <w:sz w:val="24"/>
          <w:szCs w:val="24"/>
        </w:rPr>
        <w:t>60</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Gambar 4.1 Deskripsi Variabel</w:t>
      </w:r>
      <w:r>
        <w:rPr>
          <w:rFonts w:ascii="Times New Roman" w:hAnsi="Times New Roman" w:cs="Times New Roman"/>
          <w:sz w:val="24"/>
          <w:szCs w:val="24"/>
        </w:rPr>
        <w:tab/>
      </w:r>
      <w:r>
        <w:rPr>
          <w:rFonts w:ascii="Times New Roman" w:hAnsi="Times New Roman" w:cs="Times New Roman"/>
          <w:sz w:val="24"/>
          <w:szCs w:val="24"/>
        </w:rPr>
        <w:t>95</w:t>
      </w:r>
    </w:p>
    <w:p>
      <w:pPr>
        <w:rPr>
          <w:rFonts w:ascii="Times New Roman" w:hAnsi="Times New Roman" w:cs="Times New Roman"/>
          <w:sz w:val="24"/>
          <w:szCs w:val="24"/>
        </w:rPr>
      </w:pP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Lampiran 1 Jadwal Penelitian</w:t>
      </w:r>
      <w:r>
        <w:rPr>
          <w:rFonts w:ascii="Times New Roman" w:hAnsi="Times New Roman" w:cs="Times New Roman"/>
          <w:sz w:val="24"/>
          <w:szCs w:val="24"/>
        </w:rPr>
        <w:tab/>
      </w:r>
      <w:r>
        <w:rPr>
          <w:rFonts w:ascii="Times New Roman" w:hAnsi="Times New Roman" w:cs="Times New Roman"/>
          <w:sz w:val="24"/>
          <w:szCs w:val="24"/>
        </w:rPr>
        <w:t>150</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Lampiran 2 Daftar Nama-Nama Perusahaan Sub Sektor Perbankan Yang Terdaftar Dibursa Efek Indonesia</w:t>
      </w:r>
      <w:r>
        <w:rPr>
          <w:rFonts w:ascii="Times New Roman" w:hAnsi="Times New Roman" w:cs="Times New Roman"/>
          <w:sz w:val="24"/>
          <w:szCs w:val="24"/>
        </w:rPr>
        <w:tab/>
      </w:r>
      <w:r>
        <w:rPr>
          <w:rFonts w:ascii="Times New Roman" w:hAnsi="Times New Roman" w:cs="Times New Roman"/>
          <w:sz w:val="24"/>
          <w:szCs w:val="24"/>
        </w:rPr>
        <w:t>151</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Lampiran 3 Nilai Perhitungan Dari Invesment Oportunity Set Yang Terdiri Dari Market To Book Value  Equity Terhadap Nilai Perusahaan</w:t>
      </w:r>
      <w:r>
        <w:rPr>
          <w:rFonts w:ascii="Times New Roman" w:hAnsi="Times New Roman" w:cs="Times New Roman"/>
          <w:sz w:val="24"/>
          <w:szCs w:val="24"/>
        </w:rPr>
        <w:tab/>
      </w:r>
      <w:r>
        <w:rPr>
          <w:rFonts w:ascii="Times New Roman" w:hAnsi="Times New Roman" w:cs="Times New Roman"/>
          <w:sz w:val="24"/>
          <w:szCs w:val="24"/>
        </w:rPr>
        <w:t>153</w:t>
      </w:r>
    </w:p>
    <w:p>
      <w:pPr>
        <w:tabs>
          <w:tab w:val="left" w:leader="dot" w:pos="8640"/>
        </w:tabs>
        <w:spacing w:line="360" w:lineRule="auto"/>
        <w:ind w:firstLine="0"/>
        <w:rPr>
          <w:rFonts w:ascii="Times New Roman" w:hAnsi="Times New Roman" w:cs="Times New Roman"/>
          <w:sz w:val="24"/>
          <w:szCs w:val="24"/>
        </w:rPr>
      </w:pPr>
      <w:r>
        <w:rPr>
          <w:rFonts w:ascii="Times New Roman" w:hAnsi="Times New Roman" w:cs="Times New Roman"/>
          <w:sz w:val="24"/>
          <w:szCs w:val="24"/>
        </w:rPr>
        <w:t>Lampiran 4 Invesment Oportunity Set Yang Terdiri Dari Capital Expenditure To Book Value Assets Terhadap Nilai Perusahaan</w:t>
      </w:r>
      <w:r>
        <w:rPr>
          <w:rFonts w:ascii="Times New Roman" w:hAnsi="Times New Roman" w:cs="Times New Roman"/>
          <w:sz w:val="24"/>
          <w:szCs w:val="24"/>
        </w:rPr>
        <w:tab/>
      </w:r>
      <w:r>
        <w:rPr>
          <w:rFonts w:ascii="Times New Roman" w:hAnsi="Times New Roman" w:cs="Times New Roman"/>
          <w:sz w:val="24"/>
          <w:szCs w:val="24"/>
        </w:rPr>
        <w:t>159</w:t>
      </w:r>
    </w:p>
    <w:p>
      <w:pPr>
        <w:tabs>
          <w:tab w:val="left" w:leader="dot" w:pos="8640"/>
        </w:tabs>
        <w:spacing w:line="360" w:lineRule="auto"/>
        <w:ind w:firstLine="0"/>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5  Perhitungan Corrporate Social Responbility</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167</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 xml:space="preserve">Lampiran 6 Perhitungan Risiko Bisnis </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173</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7 Perhitungan nilai perusahaan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181</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8 Tabel Data Total Ln Variabel X1,X2,X3,X4 Dan Variabel Y</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187</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9 Titik Presentase Distribusi T</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193</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10 Titik Presentase Distribusi F</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194</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11 Hasil Output Regression</w:t>
      </w:r>
      <w:r>
        <w:rPr>
          <w:rFonts w:ascii="Times New Roman" w:hAnsi="Times New Roman" w:eastAsia="Times New Roman" w:cs="Times New Roman"/>
          <w:bCs/>
          <w:sz w:val="24"/>
          <w:szCs w:val="24"/>
          <w:lang w:eastAsia="id-ID"/>
        </w:rPr>
        <w:tab/>
      </w:r>
      <w:r>
        <w:rPr>
          <w:rFonts w:ascii="Times New Roman" w:hAnsi="Times New Roman" w:eastAsia="Times New Roman" w:cs="Times New Roman"/>
          <w:bCs/>
          <w:sz w:val="24"/>
          <w:szCs w:val="24"/>
          <w:lang w:eastAsia="id-ID"/>
        </w:rPr>
        <w:t>195</w:t>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12 surat Keterangan Penelitian</w:t>
      </w:r>
      <w:r>
        <w:rPr>
          <w:rFonts w:ascii="Times New Roman" w:hAnsi="Times New Roman" w:eastAsia="Times New Roman" w:cs="Times New Roman"/>
          <w:bCs/>
          <w:sz w:val="24"/>
          <w:szCs w:val="24"/>
          <w:lang w:eastAsia="id-ID"/>
        </w:rPr>
        <w:tab/>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13 Surat Balasan Penelitian</w:t>
      </w:r>
      <w:r>
        <w:rPr>
          <w:rFonts w:ascii="Times New Roman" w:hAnsi="Times New Roman" w:eastAsia="Times New Roman" w:cs="Times New Roman"/>
          <w:bCs/>
          <w:sz w:val="24"/>
          <w:szCs w:val="24"/>
          <w:lang w:eastAsia="id-ID"/>
        </w:rPr>
        <w:tab/>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14 Surat Rekomendasi Bebas Plagiasi</w:t>
      </w:r>
      <w:r>
        <w:rPr>
          <w:rFonts w:ascii="Times New Roman" w:hAnsi="Times New Roman" w:eastAsia="Times New Roman" w:cs="Times New Roman"/>
          <w:bCs/>
          <w:sz w:val="24"/>
          <w:szCs w:val="24"/>
          <w:lang w:eastAsia="id-ID"/>
        </w:rPr>
        <w:tab/>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15 Hasil Turnitin</w:t>
      </w:r>
      <w:r>
        <w:rPr>
          <w:rFonts w:ascii="Times New Roman" w:hAnsi="Times New Roman" w:eastAsia="Times New Roman" w:cs="Times New Roman"/>
          <w:bCs/>
          <w:sz w:val="24"/>
          <w:szCs w:val="24"/>
          <w:lang w:eastAsia="id-ID"/>
        </w:rPr>
        <w:tab/>
      </w:r>
    </w:p>
    <w:p>
      <w:pPr>
        <w:tabs>
          <w:tab w:val="left" w:leader="dot" w:pos="8640"/>
        </w:tabs>
        <w:spacing w:line="360" w:lineRule="auto"/>
        <w:ind w:firstLine="0"/>
        <w:contextualSpacing/>
        <w:rPr>
          <w:rFonts w:ascii="Times New Roman" w:hAnsi="Times New Roman" w:eastAsia="Times New Roman" w:cs="Times New Roman"/>
          <w:bCs/>
          <w:sz w:val="24"/>
          <w:szCs w:val="24"/>
          <w:lang w:eastAsia="id-ID"/>
        </w:rPr>
      </w:pPr>
      <w:r>
        <w:rPr>
          <w:rFonts w:ascii="Times New Roman" w:hAnsi="Times New Roman" w:eastAsia="Times New Roman" w:cs="Times New Roman"/>
          <w:bCs/>
          <w:sz w:val="24"/>
          <w:szCs w:val="24"/>
          <w:lang w:eastAsia="id-ID"/>
        </w:rPr>
        <w:t>Lampiran 16 Curriculum Vitae</w:t>
      </w:r>
      <w:r>
        <w:rPr>
          <w:rFonts w:ascii="Times New Roman" w:hAnsi="Times New Roman" w:eastAsia="Times New Roman" w:cs="Times New Roman"/>
          <w:bCs/>
          <w:sz w:val="24"/>
          <w:szCs w:val="24"/>
          <w:lang w:eastAsia="id-ID"/>
        </w:rPr>
        <w:tab/>
      </w:r>
    </w:p>
    <w:p>
      <w:pPr>
        <w:ind w:firstLine="0"/>
        <w:rPr>
          <w:rFonts w:ascii="Times New Roman" w:hAnsi="Times New Roman" w:cs="Times New Roman"/>
          <w:sz w:val="24"/>
          <w:szCs w:val="24"/>
        </w:rPr>
      </w:pPr>
    </w:p>
    <w:p>
      <w:pPr>
        <w:ind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pPr>
    </w:p>
    <w:p>
      <w:pPr>
        <w:ind w:left="5760" w:firstLine="0"/>
        <w:rPr>
          <w:rFonts w:ascii="Times New Roman" w:hAnsi="Times New Roman" w:eastAsia="Times New Roman" w:cs="Times New Roman"/>
          <w:sz w:val="24"/>
          <w:szCs w:val="24"/>
          <w:lang w:val="id-ID"/>
        </w:rPr>
        <w:sectPr>
          <w:pgSz w:w="11907" w:h="16840"/>
          <w:pgMar w:top="2275" w:right="1699" w:bottom="1699" w:left="2250" w:header="1728" w:footer="1728" w:gutter="0"/>
          <w:pgNumType w:fmt="lowerRoman" w:start="3"/>
          <w:cols w:space="720" w:num="1"/>
          <w:docGrid w:linePitch="360" w:charSpace="0"/>
        </w:sectPr>
      </w:pPr>
    </w:p>
    <w:p>
      <w:pPr>
        <w:tabs>
          <w:tab w:val="left" w:pos="8550"/>
        </w:tabs>
        <w:ind w:firstLine="0"/>
        <w:jc w:val="center"/>
        <w:rPr>
          <w:rFonts w:ascii="Times New Roman" w:hAnsi="Times New Roman" w:cs="Times New Roman"/>
          <w:b/>
          <w:sz w:val="28"/>
          <w:szCs w:val="28"/>
        </w:rPr>
      </w:pPr>
      <w:r>
        <w:rPr>
          <w:rFonts w:ascii="Times New Roman" w:hAnsi="Times New Roman" w:cs="Times New Roman"/>
          <w:b/>
          <w:sz w:val="28"/>
          <w:szCs w:val="28"/>
        </w:rPr>
        <w:t>BAB I</w:t>
      </w:r>
    </w:p>
    <w:p>
      <w:pPr>
        <w:tabs>
          <w:tab w:val="left" w:pos="8550"/>
        </w:tabs>
        <w:jc w:val="center"/>
        <w:rPr>
          <w:rFonts w:ascii="Times New Roman" w:hAnsi="Times New Roman" w:cs="Times New Roman"/>
          <w:b/>
          <w:sz w:val="28"/>
          <w:szCs w:val="28"/>
        </w:rPr>
      </w:pPr>
      <w:r>
        <w:rPr>
          <w:rFonts w:ascii="Times New Roman" w:hAnsi="Times New Roman" w:cs="Times New Roman"/>
          <w:b/>
          <w:sz w:val="28"/>
          <w:szCs w:val="28"/>
        </w:rPr>
        <w:t>PENDAHULUAN</w:t>
      </w:r>
    </w:p>
    <w:p>
      <w:pPr>
        <w:pStyle w:val="23"/>
        <w:numPr>
          <w:ilvl w:val="1"/>
          <w:numId w:val="3"/>
        </w:numPr>
        <w:tabs>
          <w:tab w:val="left" w:pos="8550"/>
        </w:tabs>
        <w:rPr>
          <w:rFonts w:ascii="Times New Roman" w:hAnsi="Times New Roman" w:cs="Times New Roman"/>
          <w:b/>
          <w:sz w:val="24"/>
          <w:szCs w:val="24"/>
        </w:rPr>
      </w:pPr>
      <w:r>
        <w:rPr>
          <w:rFonts w:ascii="Times New Roman" w:hAnsi="Times New Roman" w:cs="Times New Roman"/>
          <w:b/>
          <w:sz w:val="24"/>
          <w:szCs w:val="24"/>
        </w:rPr>
        <w:t>Latar Belakang</w:t>
      </w:r>
    </w:p>
    <w:p>
      <w:pPr>
        <w:ind w:firstLine="720"/>
        <w:rPr>
          <w:rFonts w:ascii="Times New Roman" w:hAnsi="Times New Roman" w:cs="Times New Roman"/>
          <w:sz w:val="24"/>
          <w:szCs w:val="24"/>
        </w:rPr>
      </w:pPr>
      <w:r>
        <w:rPr>
          <w:rFonts w:ascii="Times New Roman" w:hAnsi="Times New Roman" w:cs="Times New Roman"/>
          <w:sz w:val="24"/>
          <w:szCs w:val="24"/>
        </w:rPr>
        <w:t>Perkembangan persaingan di dunia usaha telah meningkat dengan begitu cepatnya, perubahan tersebut karena adanya perkembangandi bidang teknologi informasi, persaingan yang semakin ketat dan perkembangan yang semakin pesat akan berdampak pada perubahan yang signifikan dalam menentukan strategi perusahaan yang bersaing. Setiap perusahaan harus mampu beradaptasi dan mengikuti perkembangan ekonomi agar dapat bersaing dengan perusahaan lain sehingga dapat mempertahankan perusahaan dan mencapai tujuan perusahaan yaitu meningkatkan tingkat pendapatan pemegang saham</w:t>
      </w:r>
      <w:sdt>
        <w:sdtPr>
          <w:rPr>
            <w:rFonts w:ascii="Times New Roman" w:hAnsi="Times New Roman" w:cs="Times New Roman"/>
            <w:sz w:val="24"/>
            <w:szCs w:val="24"/>
          </w:rPr>
          <w:id w:val="-959535950"/>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Tan18 \l 1033  </w:instrText>
          </w:r>
          <w:r>
            <w:rPr>
              <w:rFonts w:ascii="Times New Roman" w:hAnsi="Times New Roman" w:cs="Times New Roman"/>
              <w:sz w:val="24"/>
              <w:szCs w:val="24"/>
            </w:rPr>
            <w:fldChar w:fldCharType="separate"/>
          </w:r>
          <w:r>
            <w:rPr>
              <w:rFonts w:ascii="Times New Roman" w:hAnsi="Times New Roman" w:cs="Times New Roman"/>
              <w:sz w:val="24"/>
              <w:szCs w:val="24"/>
            </w:rPr>
            <w:t>(Tan,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pPr>
        <w:ind w:firstLine="720"/>
        <w:rPr>
          <w:rFonts w:ascii="Times New Roman" w:hAnsi="Times New Roman" w:cs="Times New Roman"/>
          <w:sz w:val="24"/>
          <w:szCs w:val="24"/>
        </w:rPr>
      </w:pPr>
      <w:r>
        <w:rPr>
          <w:rFonts w:ascii="Times New Roman" w:hAnsi="Times New Roman" w:cs="Times New Roman"/>
          <w:sz w:val="24"/>
          <w:szCs w:val="24"/>
        </w:rPr>
        <w:t xml:space="preserve">Nilai perusahaan merupakan persepsi investor tentang tingkat kekayaan pada pemegang saham. Nilai perusahaan selalu dikaitkan dengan harga saham </w:t>
      </w:r>
      <w:sdt>
        <w:sdtPr>
          <w:rPr>
            <w:rFonts w:ascii="Times New Roman" w:hAnsi="Times New Roman" w:cs="Times New Roman"/>
            <w:sz w:val="24"/>
            <w:szCs w:val="24"/>
          </w:rPr>
          <w:id w:val="-1032165132"/>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WAR19 \l 1033  </w:instrText>
          </w:r>
          <w:r>
            <w:rPr>
              <w:rFonts w:ascii="Times New Roman" w:hAnsi="Times New Roman" w:cs="Times New Roman"/>
              <w:sz w:val="24"/>
              <w:szCs w:val="24"/>
            </w:rPr>
            <w:fldChar w:fldCharType="separate"/>
          </w:r>
          <w:r>
            <w:rPr>
              <w:rFonts w:ascii="Times New Roman" w:hAnsi="Times New Roman" w:cs="Times New Roman"/>
              <w:sz w:val="24"/>
              <w:szCs w:val="24"/>
            </w:rPr>
            <w:t>(Wardah,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Secara umum nilai perusahaan tercermin pada nilai pasar/ harga saham suatu perusahaan yang sudah ditentukan dari  permintaan dan penawaran saham oleh pasar saham. Pengukuran dalam nilai perusahaan menggunakan </w:t>
      </w:r>
      <w:r>
        <w:rPr>
          <w:rFonts w:ascii="Times New Roman" w:hAnsi="Times New Roman" w:cs="Times New Roman"/>
          <w:i/>
          <w:sz w:val="24"/>
          <w:szCs w:val="24"/>
        </w:rPr>
        <w:t>Price Book Value</w:t>
      </w:r>
      <w:r>
        <w:rPr>
          <w:rFonts w:ascii="Times New Roman" w:hAnsi="Times New Roman" w:cs="Times New Roman"/>
          <w:sz w:val="24"/>
          <w:szCs w:val="24"/>
        </w:rPr>
        <w:t xml:space="preserve"> (PBV). </w:t>
      </w:r>
      <w:r>
        <w:rPr>
          <w:rFonts w:ascii="Times New Roman" w:hAnsi="Times New Roman" w:cs="Times New Roman"/>
          <w:i/>
          <w:sz w:val="24"/>
          <w:szCs w:val="24"/>
        </w:rPr>
        <w:t>Price Book Value</w:t>
      </w:r>
      <w:r>
        <w:rPr>
          <w:rFonts w:ascii="Times New Roman" w:hAnsi="Times New Roman" w:cs="Times New Roman"/>
          <w:sz w:val="24"/>
          <w:szCs w:val="24"/>
        </w:rPr>
        <w:t xml:space="preserve"> (PBV) adalah perbandingan antara harga saham dengan nilai buku dari perusahaan </w:t>
      </w:r>
      <w:sdt>
        <w:sdtPr>
          <w:rPr>
            <w:rFonts w:ascii="Times New Roman" w:hAnsi="Times New Roman" w:cs="Times New Roman"/>
            <w:sz w:val="24"/>
            <w:szCs w:val="24"/>
          </w:rPr>
          <w:id w:val="-959535932"/>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WAR19 \l 1033  </w:instrText>
          </w:r>
          <w:r>
            <w:rPr>
              <w:rFonts w:ascii="Times New Roman" w:hAnsi="Times New Roman" w:cs="Times New Roman"/>
              <w:sz w:val="24"/>
              <w:szCs w:val="24"/>
            </w:rPr>
            <w:fldChar w:fldCharType="separate"/>
          </w:r>
          <w:r>
            <w:rPr>
              <w:rFonts w:ascii="Times New Roman" w:hAnsi="Times New Roman" w:cs="Times New Roman"/>
              <w:sz w:val="24"/>
              <w:szCs w:val="24"/>
            </w:rPr>
            <w:t>(Wardah, 2019)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pPr>
        <w:ind w:firstLine="720"/>
        <w:rPr>
          <w:rFonts w:ascii="Times New Roman" w:hAnsi="Times New Roman" w:cs="Times New Roman"/>
          <w:sz w:val="24"/>
          <w:szCs w:val="24"/>
        </w:rPr>
      </w:pPr>
      <w:r>
        <w:rPr>
          <w:rFonts w:ascii="Times New Roman" w:hAnsi="Times New Roman" w:cs="Times New Roman"/>
          <w:sz w:val="24"/>
          <w:szCs w:val="24"/>
        </w:rPr>
        <w:t xml:space="preserve">Nilai perusahaan dibentuk dari beberapa variabel nilai pasar saham yang sangat dipengaruhi oleh set kesempatan investasi/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(IOS). Setiap perusahaan memiliki kesempatan investasi dan pemanfaatan kesempatan investasi yang tepat dapat meningkatkan perkembangan perusahaan (Saputri, 2017).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(IOS) merupakan peluang investastasi yang nilainya tergantung dengan pengeluaran yang sudah ditetapkan manajemen pada waktu yang akan datang, dan juga merupakan investasi yang diharapkan untuk mendapatkan </w:t>
      </w:r>
      <w:r>
        <w:rPr>
          <w:rFonts w:ascii="Times New Roman" w:hAnsi="Times New Roman" w:cs="Times New Roman"/>
          <w:i/>
          <w:sz w:val="24"/>
          <w:szCs w:val="24"/>
        </w:rPr>
        <w:t>return</w:t>
      </w:r>
      <w:r>
        <w:rPr>
          <w:rFonts w:ascii="Times New Roman" w:hAnsi="Times New Roman" w:cs="Times New Roman"/>
          <w:sz w:val="24"/>
          <w:szCs w:val="24"/>
        </w:rPr>
        <w:t xml:space="preserve"> yang besar (Saputri, 2017).</w:t>
      </w:r>
    </w:p>
    <w:p>
      <w:pPr>
        <w:ind w:firstLine="720"/>
        <w:rPr>
          <w:rFonts w:ascii="Times New Roman" w:hAnsi="Times New Roman" w:cs="Times New Roman"/>
          <w:sz w:val="24"/>
          <w:szCs w:val="24"/>
        </w:rPr>
      </w:pP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berhubungan dengan keputusan investasi perusahaan terhadap pihak internal dan eksternal </w:t>
      </w:r>
      <w:sdt>
        <w:sdtPr>
          <w:rPr>
            <w:rFonts w:ascii="Times New Roman" w:hAnsi="Times New Roman" w:cs="Times New Roman"/>
            <w:sz w:val="24"/>
            <w:szCs w:val="24"/>
          </w:rPr>
          <w:id w:val="46802527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Rin191 \l 1033 </w:instrText>
          </w:r>
          <w:r>
            <w:rPr>
              <w:rFonts w:ascii="Times New Roman" w:hAnsi="Times New Roman" w:cs="Times New Roman"/>
              <w:sz w:val="24"/>
              <w:szCs w:val="24"/>
            </w:rPr>
            <w:fldChar w:fldCharType="separate"/>
          </w:r>
          <w:r>
            <w:rPr>
              <w:rFonts w:ascii="Times New Roman" w:hAnsi="Times New Roman" w:cs="Times New Roman"/>
              <w:sz w:val="24"/>
              <w:szCs w:val="24"/>
            </w:rPr>
            <w:t>(Rini &amp; Mimba,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Rencana pada pengeluaran manajemen untuk dimasa depan dan pengeluaran dimasa sekarang diharapkan dapat memiliki pengembalian yang lebih tinggi dari modal yang sudah dikeluarkan oleh manajemen </w:t>
      </w:r>
      <w:sdt>
        <w:sdtPr>
          <w:rPr>
            <w:rFonts w:ascii="Times New Roman" w:hAnsi="Times New Roman" w:cs="Times New Roman"/>
            <w:sz w:val="24"/>
            <w:szCs w:val="24"/>
          </w:rPr>
          <w:id w:val="468025279"/>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Rin191 \l 1033 </w:instrText>
          </w:r>
          <w:r>
            <w:rPr>
              <w:rFonts w:ascii="Times New Roman" w:hAnsi="Times New Roman" w:cs="Times New Roman"/>
              <w:sz w:val="24"/>
              <w:szCs w:val="24"/>
            </w:rPr>
            <w:fldChar w:fldCharType="separate"/>
          </w:r>
          <w:r>
            <w:rPr>
              <w:rFonts w:ascii="Times New Roman" w:hAnsi="Times New Roman" w:cs="Times New Roman"/>
              <w:sz w:val="24"/>
              <w:szCs w:val="24"/>
            </w:rPr>
            <w:t>(Rini &amp; Mimba,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Penelitian yang dilakukan oleh Hamidah &amp; Umdiana (2017) menyatakan bahwa adanya pengaruh positif dari IOS terhadap nilai perusahaan.Dari hasil penelitian ini memiliki arti bahwa pertambahan kekayaan atau asset pada perusahaan cenderung terjadi pada perusahaan yang banyak melakukan investasi. </w:t>
      </w:r>
    </w:p>
    <w:p>
      <w:pPr>
        <w:ind w:firstLine="720"/>
        <w:rPr>
          <w:rFonts w:ascii="Times New Roman" w:hAnsi="Times New Roman" w:cs="Times New Roman"/>
          <w:sz w:val="24"/>
          <w:szCs w:val="24"/>
        </w:rPr>
      </w:pPr>
      <w:r>
        <w:rPr>
          <w:rFonts w:ascii="Times New Roman" w:hAnsi="Times New Roman" w:cs="Times New Roman"/>
          <w:sz w:val="24"/>
          <w:szCs w:val="24"/>
        </w:rPr>
        <w:t>Secara umum IOS merupakan biaya pengeluaran yang ditentukan oleh manajemen dimasa yang akan datang, yang diharapkan dapat menghasilkan</w:t>
      </w:r>
      <w:r>
        <w:rPr>
          <w:rFonts w:ascii="Times New Roman" w:hAnsi="Times New Roman" w:cs="Times New Roman"/>
          <w:i/>
          <w:sz w:val="24"/>
          <w:szCs w:val="24"/>
        </w:rPr>
        <w:t xml:space="preserve"> return</w:t>
      </w:r>
      <w:r>
        <w:rPr>
          <w:rFonts w:ascii="Times New Roman" w:hAnsi="Times New Roman" w:cs="Times New Roman"/>
          <w:sz w:val="24"/>
          <w:szCs w:val="24"/>
        </w:rPr>
        <w:t xml:space="preserve"> yang lebih besar. Dalam </w:t>
      </w:r>
      <w:r>
        <w:rPr>
          <w:rFonts w:ascii="Times New Roman" w:hAnsi="Times New Roman" w:cs="Times New Roman"/>
          <w:i/>
          <w:sz w:val="24"/>
          <w:szCs w:val="24"/>
        </w:rPr>
        <w:t xml:space="preserve">teori sinyal </w:t>
      </w:r>
      <w:r>
        <w:rPr>
          <w:rFonts w:ascii="Times New Roman" w:hAnsi="Times New Roman" w:cs="Times New Roman"/>
          <w:sz w:val="24"/>
          <w:szCs w:val="24"/>
        </w:rPr>
        <w:t>menjelaskan bahwa pengeluaran pada modal perusahaan merupakan sesuatu yang penting dalam meningkatkan nilai perusahaan, karena semua macam jenis investasi yang dilakukan perusahaan akan memberikan sinyal positif terhadap pertumbuhan dan pendapatan perusahaan yang berdampak pada meningkatnya harga saham dimana harga saham adalah</w:t>
      </w:r>
      <w:r>
        <w:rPr>
          <w:rFonts w:ascii="Times New Roman" w:hAnsi="Times New Roman" w:cs="Times New Roman"/>
          <w:i/>
          <w:sz w:val="24"/>
          <w:szCs w:val="24"/>
        </w:rPr>
        <w:t xml:space="preserve"> indicator</w:t>
      </w:r>
      <w:r>
        <w:rPr>
          <w:rFonts w:ascii="Times New Roman" w:hAnsi="Times New Roman" w:cs="Times New Roman"/>
          <w:sz w:val="24"/>
          <w:szCs w:val="24"/>
        </w:rPr>
        <w:t xml:space="preserve"> dari nilai perusahaan ( Putri &amp; Setiawan, 2019). </w:t>
      </w:r>
    </w:p>
    <w:p>
      <w:pPr>
        <w:ind w:firstLine="720"/>
        <w:rPr>
          <w:rFonts w:ascii="Times New Roman" w:hAnsi="Times New Roman" w:cs="Times New Roman"/>
          <w:sz w:val="24"/>
          <w:szCs w:val="24"/>
        </w:rPr>
      </w:pP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diukur menggunakan 2 jenis proksi utama, yaitu IOS berdasarkan harga dan IOS berdasarkan investasi (Putri &amp; Setiawan, 2019).  IOS berdasarkan harga diproksikan dengan </w:t>
      </w:r>
      <w:r>
        <w:rPr>
          <w:rFonts w:ascii="Times New Roman" w:hAnsi="Times New Roman" w:cs="Times New Roman"/>
          <w:i/>
          <w:sz w:val="24"/>
          <w:szCs w:val="24"/>
        </w:rPr>
        <w:t>Market to Book Value of Equity</w:t>
      </w:r>
      <w:r>
        <w:rPr>
          <w:rFonts w:ascii="Times New Roman" w:hAnsi="Times New Roman" w:cs="Times New Roman"/>
          <w:sz w:val="24"/>
          <w:szCs w:val="24"/>
        </w:rPr>
        <w:t xml:space="preserve"> (MBVE). Sedangkan IOS berdasarkan investasi diproksikan dengan rasio </w:t>
      </w:r>
      <w:r>
        <w:rPr>
          <w:rFonts w:ascii="Times New Roman" w:hAnsi="Times New Roman" w:cs="Times New Roman"/>
          <w:i/>
          <w:sz w:val="24"/>
          <w:szCs w:val="24"/>
        </w:rPr>
        <w:t>Capital Expenditure to Book Value Assets</w:t>
      </w:r>
      <w:r>
        <w:rPr>
          <w:rFonts w:ascii="Times New Roman" w:hAnsi="Times New Roman" w:cs="Times New Roman"/>
          <w:sz w:val="24"/>
          <w:szCs w:val="24"/>
        </w:rPr>
        <w:t xml:space="preserve"> (CAPBVA). Penelitian Ni Kadek et al (2016) membuktikan bahwa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(IOS) memiliki pengaruh positif signifikan pada nilai perusahaan. Penelitian ini juga dilakukan oleh Giriati (2016) menyatakan bahwa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 xml:space="preserve">(IOS) berpengaruh positif terhadap nilai perusahaan, yang artinya apabila IOS menghasilkan peningkatan maka nilai perusahaan akan semakin meningkat, oleh itu dengan meningkatnya kegiatan investasi yang dilakukan, maka akan meningkatkam nilai  perusahaan. </w:t>
      </w:r>
    </w:p>
    <w:p>
      <w:pPr>
        <w:ind w:firstLine="720"/>
        <w:rPr>
          <w:rFonts w:ascii="Times New Roman" w:hAnsi="Times New Roman" w:cs="Times New Roman"/>
          <w:sz w:val="24"/>
          <w:szCs w:val="24"/>
        </w:rPr>
      </w:pPr>
      <w:r>
        <w:rPr>
          <w:rFonts w:ascii="Times New Roman" w:hAnsi="Times New Roman" w:cs="Times New Roman"/>
          <w:sz w:val="24"/>
          <w:szCs w:val="24"/>
        </w:rPr>
        <w:t xml:space="preserve">Salah satu cara untuk meningkatkan nilai perusahaan adalah melalui penerapan </w:t>
      </w:r>
      <w:r>
        <w:rPr>
          <w:rFonts w:ascii="Times New Roman" w:hAnsi="Times New Roman" w:cs="Times New Roman"/>
          <w:i/>
          <w:sz w:val="24"/>
          <w:szCs w:val="24"/>
        </w:rPr>
        <w:t>Corporate Social Responbility</w:t>
      </w:r>
      <w:r>
        <w:rPr>
          <w:rFonts w:ascii="Times New Roman" w:hAnsi="Times New Roman" w:cs="Times New Roman"/>
          <w:sz w:val="24"/>
          <w:szCs w:val="24"/>
        </w:rPr>
        <w:t xml:space="preserve"> atau tanggung jawab sosial perusahaan tanggung jawab sosial perusahaan atau tanggung jawab sosial merupakan aspek yang paling penting. Dalam sebuah perusahaan hendaknya tidak hanya memperhatikan tanggung jawab situasi keuangan, tetapi juga kondisi sosial dan lingkungan. Hal ini dikarenakan kondisi keuangan yang belum cukup untuk memastikan keberlangsungan pembangunan perusahaan (Wardah, 2019).</w:t>
      </w:r>
    </w:p>
    <w:p>
      <w:pPr>
        <w:ind w:firstLine="720"/>
        <w:rPr>
          <w:rFonts w:ascii="Times New Roman" w:hAnsi="Times New Roman" w:cs="Times New Roman"/>
          <w:sz w:val="24"/>
          <w:szCs w:val="24"/>
        </w:rPr>
      </w:pPr>
      <w:r>
        <w:rPr>
          <w:rFonts w:ascii="Times New Roman" w:hAnsi="Times New Roman" w:cs="Times New Roman"/>
          <w:i/>
          <w:sz w:val="24"/>
          <w:szCs w:val="24"/>
        </w:rPr>
        <w:t>Corporate Social Responbility</w:t>
      </w:r>
      <w:r>
        <w:rPr>
          <w:rFonts w:ascii="Times New Roman" w:hAnsi="Times New Roman" w:cs="Times New Roman"/>
          <w:sz w:val="24"/>
          <w:szCs w:val="24"/>
        </w:rPr>
        <w:t xml:space="preserve"> merupakan media komunikasi antara perusahaan dengan masyarakat tentang kegiatan perusahaan dan tanggung jawab sosial perusahaan.Pengungkapan CSR diukur oleh Agen I. Pengungkapan perusahaan sesuai dengan regulasi GRI meliputi tiga pengungkapan utama yaitu ekonomi, lingkungan dan masyarakat sebagai dasar pelaporan keberlanjutan (Wardah, 2019).</w:t>
      </w:r>
    </w:p>
    <w:p>
      <w:pPr>
        <w:ind w:firstLine="720"/>
        <w:rPr>
          <w:rFonts w:ascii="Times New Roman" w:hAnsi="Times New Roman" w:cs="Times New Roman"/>
          <w:sz w:val="24"/>
          <w:szCs w:val="24"/>
        </w:rPr>
      </w:pPr>
      <w:r>
        <w:rPr>
          <w:rFonts w:ascii="Times New Roman" w:hAnsi="Times New Roman" w:cs="Times New Roman"/>
          <w:i/>
          <w:sz w:val="24"/>
          <w:szCs w:val="24"/>
        </w:rPr>
        <w:t xml:space="preserve">Corporate Social Responbility </w:t>
      </w:r>
      <w:r>
        <w:rPr>
          <w:rFonts w:ascii="Times New Roman" w:hAnsi="Times New Roman" w:cs="Times New Roman"/>
          <w:sz w:val="24"/>
          <w:szCs w:val="24"/>
        </w:rPr>
        <w:t xml:space="preserve">dapat mempengaruhi nilai perusahaan. Berdasarkan hasil dari </w:t>
      </w:r>
      <w:r>
        <w:rPr>
          <w:rFonts w:ascii="Times New Roman" w:hAnsi="Times New Roman" w:cs="Times New Roman"/>
          <w:i/>
          <w:sz w:val="24"/>
          <w:szCs w:val="24"/>
        </w:rPr>
        <w:t>teori stakeholders</w:t>
      </w:r>
      <w:r>
        <w:rPr>
          <w:rFonts w:ascii="Times New Roman" w:hAnsi="Times New Roman" w:cs="Times New Roman"/>
          <w:sz w:val="24"/>
          <w:szCs w:val="24"/>
        </w:rPr>
        <w:t xml:space="preserve"> dan pengungkapan ini dapat berdampak positif terhadap nilai perusahaan (Li, 2017). Bentuk tanggung jawab kepada ekonomi perusahaan, lingkungan dan karyawan sekitar merupakan suatu aktivitas utama dari CSR, tanggung jawab perusahaan terhadap karyawan diwujudkan dengan meningkatkan kualitas hidup karyawan perusahaan, tanggung jawab perusahaan untuk lingkungan dapat diwujudukan salah satunya juga dengan meningkatkan kualitas hidup dari masyarakat sekitar perusahaan tersebut saat bekerja. Beberapa penelitian yang mengenai hubungan antara CSR terhadap nilai perusahaan yang dilakukan oleh Permana &amp; Wirawati (2018), Bella &amp; Suaryana (2017) dan Li (2017). Dari hasil penelitian tersebut diperoleh terdapat pengaruh positif antara CSR terhadap nilai perusahaan. </w:t>
      </w:r>
      <w:r>
        <w:rPr>
          <w:rStyle w:val="25"/>
          <w:rFonts w:ascii="Times New Roman" w:hAnsi="Times New Roman" w:cs="Times New Roman"/>
          <w:sz w:val="24"/>
          <w:szCs w:val="24"/>
        </w:rPr>
        <w:t xml:space="preserve">Hal ini berarti semakin baik penerapan </w:t>
      </w:r>
      <w:r>
        <w:rPr>
          <w:rStyle w:val="25"/>
          <w:rFonts w:ascii="Times New Roman" w:hAnsi="Times New Roman" w:cs="Times New Roman"/>
          <w:bCs/>
          <w:sz w:val="24"/>
          <w:szCs w:val="24"/>
        </w:rPr>
        <w:t>CSR</w:t>
      </w:r>
      <w:r>
        <w:rPr>
          <w:rStyle w:val="25"/>
          <w:rFonts w:ascii="Times New Roman" w:hAnsi="Times New Roman" w:cs="Times New Roman"/>
          <w:sz w:val="24"/>
          <w:szCs w:val="24"/>
        </w:rPr>
        <w:t xml:space="preserve"> oleh </w:t>
      </w:r>
      <w:r>
        <w:rPr>
          <w:rStyle w:val="25"/>
          <w:rFonts w:ascii="Times New Roman" w:hAnsi="Times New Roman" w:cs="Times New Roman"/>
          <w:bCs/>
          <w:sz w:val="24"/>
          <w:szCs w:val="24"/>
        </w:rPr>
        <w:t>perusahaan</w:t>
      </w:r>
      <w:r>
        <w:rPr>
          <w:rStyle w:val="25"/>
          <w:rFonts w:ascii="Times New Roman" w:hAnsi="Times New Roman" w:cs="Times New Roman"/>
          <w:sz w:val="24"/>
          <w:szCs w:val="24"/>
        </w:rPr>
        <w:t xml:space="preserve"> maka </w:t>
      </w:r>
      <w:r>
        <w:rPr>
          <w:rStyle w:val="25"/>
          <w:rFonts w:ascii="Times New Roman" w:hAnsi="Times New Roman" w:cs="Times New Roman"/>
          <w:bCs/>
          <w:sz w:val="24"/>
          <w:szCs w:val="24"/>
        </w:rPr>
        <w:t>nilai perusahaan</w:t>
      </w:r>
      <w:r>
        <w:rPr>
          <w:rStyle w:val="25"/>
          <w:rFonts w:ascii="Times New Roman" w:hAnsi="Times New Roman" w:cs="Times New Roman"/>
          <w:sz w:val="24"/>
          <w:szCs w:val="24"/>
        </w:rPr>
        <w:t xml:space="preserve"> akan semakin meningkat. </w:t>
      </w:r>
    </w:p>
    <w:p>
      <w:pPr>
        <w:ind w:firstLine="720"/>
        <w:rPr>
          <w:rFonts w:ascii="Times New Roman" w:hAnsi="Times New Roman" w:cs="Times New Roman"/>
          <w:sz w:val="24"/>
          <w:szCs w:val="24"/>
        </w:rPr>
      </w:pPr>
      <w:r>
        <w:rPr>
          <w:rFonts w:ascii="Times New Roman" w:hAnsi="Times New Roman" w:cs="Times New Roman"/>
          <w:sz w:val="24"/>
          <w:szCs w:val="24"/>
        </w:rPr>
        <w:t>Aktivitas CSR dianggap sebagai investasi oleh perusahan dan bukan sebagai biaya-biaya</w:t>
      </w:r>
      <w:r>
        <w:rPr>
          <w:rFonts w:ascii="Times New Roman" w:hAnsi="Times New Roman" w:cs="Times New Roman"/>
          <w:i/>
          <w:sz w:val="24"/>
          <w:szCs w:val="24"/>
        </w:rPr>
        <w:t xml:space="preserve"> social</w:t>
      </w:r>
      <w:r>
        <w:rPr>
          <w:rFonts w:ascii="Times New Roman" w:hAnsi="Times New Roman" w:cs="Times New Roman"/>
          <w:sz w:val="24"/>
          <w:szCs w:val="24"/>
        </w:rPr>
        <w:t>, hal ini karena perusahaan melihat penerapan CSR semakin penting bagi perusahaan (Fajriana, 2016). Penerapan CSR juga diharapkan bisa menjadi upaya untuk dapat mengurangi risiko, khususnya pada risiko bisnis yang berasal dari dalam perusahaan, risiko bisnis dapat mempengaruhi reputasi perusahaandilihat dari harga saham dan minat masyarakat terhadap produk atau jasa yang ditawarkan, risiko juga dapat diartikan sebagai bentuk kondisi ketidakpastian pada keadaan yang akan terjadi nantinya dengan keputusan yang akan diambil saat ini, ketidakpastian dan risiko adalah dua istilah dasar untuk setiap pengambilan keputusan, kondisi ketidakpastian dimasa yang akan datang dapat menimbulkan risiko, biasanya risiko yang timbul seperti akibat dari perusahaan yang tidak bisa mengontrol biaya operasionalnya sehingga setiap perusahaan harus menentukan keputusan untuk kebutuhan modal bagi perusahaan yang ingin lebih memajukkan usaha, risiko bisnis merupakan ketidakpastian proyeksi dalam pengembalian aktiva dimasa mendatang (Fajriana, 2016).</w:t>
      </w:r>
    </w:p>
    <w:p>
      <w:pPr>
        <w:ind w:firstLine="720"/>
        <w:rPr>
          <w:rStyle w:val="25"/>
          <w:rFonts w:ascii="Times New Roman" w:hAnsi="Times New Roman" w:cs="Times New Roman"/>
          <w:sz w:val="24"/>
          <w:szCs w:val="24"/>
        </w:rPr>
      </w:pPr>
      <w:r>
        <w:rPr>
          <w:rFonts w:ascii="Times New Roman" w:hAnsi="Times New Roman" w:cs="Times New Roman"/>
          <w:sz w:val="24"/>
          <w:szCs w:val="24"/>
        </w:rPr>
        <w:t xml:space="preserve">Risiko Bisnis dapat mempengaruhi nilai perusahaan, menurut penelitian Ary (2017) Setiap keputusan yang diambil perusahaan pasti akan berpengaruh pada risiko bisnis, sehingga dapat mempengaruhi nilai perusahaan. Sesuai dengan </w:t>
      </w:r>
      <w:r>
        <w:rPr>
          <w:rFonts w:ascii="Times New Roman" w:hAnsi="Times New Roman" w:cs="Times New Roman"/>
          <w:i/>
          <w:sz w:val="24"/>
          <w:szCs w:val="24"/>
        </w:rPr>
        <w:t>teori trade off</w:t>
      </w:r>
      <w:r>
        <w:rPr>
          <w:rFonts w:ascii="Times New Roman" w:hAnsi="Times New Roman" w:cs="Times New Roman"/>
          <w:sz w:val="24"/>
          <w:szCs w:val="24"/>
        </w:rPr>
        <w:t xml:space="preserve"> yang menyatakan bahwa semakin besar hutang maka semakin besar pula resiko yang akan ditanggung oleh perusahaan sehingga menyebabkan nilai perusahaan menurun, hal ini dikarenakan biaya bunga tetap yang harus dibayarkan akan meningkatkan resiko dan pendapatan yang diperoleh akan berkurang karena risiko yang terlibat timbul (Anggraeni &amp; dkk, 2018). </w:t>
      </w:r>
    </w:p>
    <w:p>
      <w:pPr>
        <w:ind w:firstLine="720"/>
        <w:rPr>
          <w:rStyle w:val="25"/>
          <w:rFonts w:ascii="Times New Roman" w:hAnsi="Times New Roman" w:cs="Times New Roman"/>
          <w:sz w:val="24"/>
          <w:szCs w:val="24"/>
        </w:rPr>
      </w:pPr>
      <w:r>
        <w:rPr>
          <w:rFonts w:ascii="Times New Roman" w:hAnsi="Times New Roman" w:cs="Times New Roman"/>
          <w:sz w:val="24"/>
          <w:szCs w:val="24"/>
        </w:rPr>
        <w:t xml:space="preserve">Risiko bisnis pada penelitian ini diproksikan dengan EBIT </w:t>
      </w:r>
      <w:r>
        <w:rPr>
          <w:rFonts w:ascii="Times New Roman" w:hAnsi="Times New Roman" w:cs="Times New Roman"/>
          <w:i/>
          <w:sz w:val="24"/>
          <w:szCs w:val="24"/>
        </w:rPr>
        <w:t xml:space="preserve">(Earning Before Interest and Tax). </w:t>
      </w:r>
      <w:r>
        <w:rPr>
          <w:rFonts w:ascii="Times New Roman" w:hAnsi="Times New Roman" w:cs="Times New Roman"/>
          <w:sz w:val="24"/>
          <w:szCs w:val="24"/>
        </w:rPr>
        <w:t xml:space="preserve">penelitian </w:t>
      </w:r>
      <w:r>
        <w:rPr>
          <w:rStyle w:val="25"/>
          <w:rFonts w:ascii="Times New Roman" w:hAnsi="Times New Roman" w:cs="Times New Roman"/>
          <w:sz w:val="24"/>
          <w:szCs w:val="24"/>
        </w:rPr>
        <w:t>yang dilakukan oleh Wiagustini &amp; Pertamawati (2015) dan Ida Ayu Puspita Trisna Dewi &amp; I Ketut Sujana (2019) menunjukkan bahwa risiko bisnis berdampak negatif terhadap nilai perusahaan. Artinya semakin meningkat risiko bisnis perusahaan maka nilai perusahaan akan semakin menurun.</w:t>
      </w:r>
    </w:p>
    <w:p>
      <w:pPr>
        <w:ind w:firstLine="720"/>
        <w:rPr>
          <w:rFonts w:ascii="Times New Roman" w:hAnsi="Times New Roman" w:cs="Times New Roman"/>
          <w:sz w:val="24"/>
          <w:szCs w:val="24"/>
        </w:rPr>
      </w:pPr>
      <w:r>
        <w:rPr>
          <w:rFonts w:ascii="Times New Roman" w:hAnsi="Times New Roman" w:cs="Times New Roman"/>
          <w:sz w:val="24"/>
          <w:szCs w:val="24"/>
        </w:rPr>
        <w:t xml:space="preserve">Penelitian ini dilakukan pada sub sektor perbankan, hal ini di sebabkan karena sub sektor perbankan merupakan salah satu sektor yang memiliki peluang yang cukup cerah untuk di massa yang akan datang. Pada kondisi saat ini salah satu sektor yang mendapatkan perhatian yang lebih mendalam sebagai lokasi penanaman modal yakni pada perusahaan yang bergerak pada sektor perbankan, hal ini dibuktikan dari nilai total saham sektor perbankan menjadi nilai terbesar diantara sektor lainnya dengan nilai saham Rp 458.57 (Bursa Efek Indonesia, 2019) Menurut berita yang dipublikasikan di halaman online (beritasatu.com, 2020) saham-saham pada sub sektor perbankan tumbuh paling tinggi secara sektoral dan mengalahkan sembilan sektor lainnya. </w:t>
      </w:r>
      <w:r>
        <w:rPr>
          <w:rFonts w:ascii="Times New Roman" w:hAnsi="Times New Roman" w:cs="Times New Roman"/>
          <w:sz w:val="24"/>
          <w:szCs w:val="24"/>
          <w:lang w:val="id-ID"/>
        </w:rPr>
        <w:t>Perekonomian suatu negara selalu berkaitan erat dengan sektor keuangan</w:t>
      </w:r>
      <w:r>
        <w:rPr>
          <w:rFonts w:ascii="Times New Roman" w:hAnsi="Times New Roman" w:cs="Times New Roman"/>
          <w:sz w:val="24"/>
          <w:szCs w:val="24"/>
        </w:rPr>
        <w:t xml:space="preserve">, </w:t>
      </w:r>
      <w:r>
        <w:rPr>
          <w:rFonts w:ascii="Times New Roman" w:hAnsi="Times New Roman" w:cs="Times New Roman"/>
          <w:sz w:val="24"/>
          <w:szCs w:val="24"/>
          <w:lang w:val="id-ID"/>
        </w:rPr>
        <w:t>karena sektor keuangan mempunyai pengaruh terhadap pertumbuhan ekonominegara.</w:t>
      </w:r>
    </w:p>
    <w:p>
      <w:pPr>
        <w:ind w:firstLine="720"/>
        <w:rPr>
          <w:rFonts w:ascii="Times New Roman" w:hAnsi="Times New Roman" w:cs="Times New Roman"/>
          <w:sz w:val="24"/>
          <w:szCs w:val="24"/>
        </w:rPr>
      </w:pPr>
      <w:r>
        <w:rPr>
          <w:rFonts w:ascii="Times New Roman" w:hAnsi="Times New Roman" w:cs="Times New Roman"/>
          <w:sz w:val="24"/>
          <w:szCs w:val="24"/>
        </w:rPr>
        <w:t xml:space="preserve">Perusahaan sub sektor perbankan yang terdaftar di Bursa Efek Indonesia (BEI) terdiri dari 45 perusahaan yang berdasarkan data terbaru, namun hanya 39 perusahaan pada sub sektor perbankan yang </w:t>
      </w:r>
      <w:r>
        <w:rPr>
          <w:rFonts w:ascii="Times New Roman" w:hAnsi="Times New Roman" w:cs="Times New Roman"/>
          <w:i/>
          <w:sz w:val="24"/>
          <w:szCs w:val="24"/>
        </w:rPr>
        <w:t xml:space="preserve">listing </w:t>
      </w:r>
      <w:r>
        <w:rPr>
          <w:rFonts w:ascii="Times New Roman" w:hAnsi="Times New Roman" w:cs="Times New Roman"/>
          <w:sz w:val="24"/>
          <w:szCs w:val="24"/>
        </w:rPr>
        <w:t>sebelum tahun 2015-2019 dan memiliki laporan keuangan yang lengkap.  Untuk lebih jelasnya dapat dilihat pada table berikut ini.</w:t>
      </w:r>
    </w:p>
    <w:p>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b/>
          <w:sz w:val="24"/>
          <w:szCs w:val="24"/>
        </w:rPr>
        <w:t>Table 1.1 Harga Saham Sub Sektor Perbankan Terdaftar Di Bursa Efek Indonesia (BEI) Tahun 2015-2019</w:t>
      </w:r>
    </w:p>
    <w:p>
      <w:pPr>
        <w:pStyle w:val="23"/>
        <w:tabs>
          <w:tab w:val="left" w:pos="1125"/>
          <w:tab w:val="center" w:pos="4146"/>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(Dinyatakan Dalam  Rupiah)</w:t>
      </w:r>
    </w:p>
    <w:tbl>
      <w:tblPr>
        <w:tblStyle w:val="6"/>
        <w:tblW w:w="8762" w:type="dxa"/>
        <w:jc w:val="right"/>
        <w:tblLayout w:type="autofit"/>
        <w:tblCellMar>
          <w:top w:w="0" w:type="dxa"/>
          <w:left w:w="108" w:type="dxa"/>
          <w:bottom w:w="0" w:type="dxa"/>
          <w:right w:w="108" w:type="dxa"/>
        </w:tblCellMar>
      </w:tblPr>
      <w:tblGrid>
        <w:gridCol w:w="486"/>
        <w:gridCol w:w="828"/>
        <w:gridCol w:w="3373"/>
        <w:gridCol w:w="804"/>
        <w:gridCol w:w="906"/>
        <w:gridCol w:w="833"/>
        <w:gridCol w:w="766"/>
        <w:gridCol w:w="766"/>
      </w:tblGrid>
      <w:tr>
        <w:tblPrEx>
          <w:tblCellMar>
            <w:top w:w="0" w:type="dxa"/>
            <w:left w:w="108" w:type="dxa"/>
            <w:bottom w:w="0" w:type="dxa"/>
            <w:right w:w="108" w:type="dxa"/>
          </w:tblCellMar>
        </w:tblPrEx>
        <w:trPr>
          <w:trHeight w:val="423" w:hRule="atLeast"/>
          <w:jc w:val="right"/>
        </w:trPr>
        <w:tc>
          <w:tcPr>
            <w:tcW w:w="486" w:type="dxa"/>
            <w:tcBorders>
              <w:top w:val="single" w:color="000000" w:sz="8" w:space="0"/>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NO</w:t>
            </w:r>
          </w:p>
        </w:tc>
        <w:tc>
          <w:tcPr>
            <w:tcW w:w="828"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KODE</w:t>
            </w:r>
          </w:p>
        </w:tc>
        <w:tc>
          <w:tcPr>
            <w:tcW w:w="3373"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NAMA PERUSAHAAN</w:t>
            </w:r>
          </w:p>
        </w:tc>
        <w:tc>
          <w:tcPr>
            <w:tcW w:w="804"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b/>
                <w:color w:val="FFFFFF"/>
                <w:sz w:val="18"/>
                <w:szCs w:val="18"/>
              </w:rPr>
            </w:pPr>
            <w:r>
              <w:rPr>
                <w:rFonts w:hint="eastAsia" w:ascii="Times New Roman" w:hAnsi="Times New Roman" w:eastAsia="Times New Roman" w:cs="Times New Roman"/>
                <w:b/>
                <w:color w:val="000000"/>
                <w:sz w:val="18"/>
                <w:szCs w:val="18"/>
              </w:rPr>
              <w:t>2015</w:t>
            </w:r>
          </w:p>
        </w:tc>
        <w:tc>
          <w:tcPr>
            <w:tcW w:w="906"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2016</w:t>
            </w:r>
          </w:p>
        </w:tc>
        <w:tc>
          <w:tcPr>
            <w:tcW w:w="833"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2017</w:t>
            </w:r>
          </w:p>
        </w:tc>
        <w:tc>
          <w:tcPr>
            <w:tcW w:w="766"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color w:val="000000"/>
                <w:sz w:val="18"/>
                <w:szCs w:val="18"/>
              </w:rPr>
            </w:pPr>
            <w:r>
              <w:rPr>
                <w:rFonts w:hint="eastAsia" w:ascii="Times New Roman" w:hAnsi="Times New Roman" w:eastAsia="Times New Roman" w:cs="Times New Roman"/>
                <w:b/>
                <w:color w:val="000000"/>
                <w:sz w:val="18"/>
                <w:szCs w:val="18"/>
              </w:rPr>
              <w:t>2018</w:t>
            </w:r>
          </w:p>
        </w:tc>
        <w:tc>
          <w:tcPr>
            <w:tcW w:w="766" w:type="dxa"/>
            <w:tcBorders>
              <w:top w:val="single" w:color="000000" w:sz="8" w:space="0"/>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b/>
                <w:color w:val="FFFFFF"/>
                <w:sz w:val="18"/>
                <w:szCs w:val="18"/>
              </w:rPr>
            </w:pPr>
            <w:r>
              <w:rPr>
                <w:rFonts w:hint="eastAsia" w:ascii="Times New Roman" w:hAnsi="Times New Roman" w:cs="Times New Roman"/>
                <w:b/>
                <w:sz w:val="18"/>
                <w:szCs w:val="18"/>
              </w:rPr>
              <w:t>2019</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AGRO</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Rakyat Indonesia  Agroniaga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74</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359</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525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310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338</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AGRS</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Angris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91</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238</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402</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BABP</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Mnc Internasional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72</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BACA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Capital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206</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296</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BBCA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Central Asia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133</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15.500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21.900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26.000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28.175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BBHI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Harda Internasional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123</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171</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BBKP</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Bukopin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640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590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364</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BBMD</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Mestika Dharma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1.560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1.500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1.375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1.380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1.380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BBNI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Negara Indonesia (Persero)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4.990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5.525</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9.900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8.800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9.075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BBRI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Rakyat Indonesia (Persero)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2.285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2.335</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3.640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3.660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3.850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BBTN</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Tabungan Negara (Persero)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1.295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1.740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3.570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2.540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2.740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BBYB</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Yudha Bhakti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329</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398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284</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268</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BCIC</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Jtrust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BDMN</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Danamon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3.200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3.710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6.950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7.600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9.100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BEKS</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Pembangunan Daerah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57</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16</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BINA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Ina Perdana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214</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189</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995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670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590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BJBR</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Pembangunan Daerah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755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3.390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2.330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BJTM</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Pembangunan Daerah Jawa Timur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437</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570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710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690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745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19</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BKSW</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Qnb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232</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lang w:val="id-ID"/>
              </w:rPr>
              <w:t xml:space="preserve"> </w:t>
            </w:r>
            <w:r>
              <w:rPr>
                <w:rFonts w:hint="eastAsia" w:ascii="Times New Roman" w:hAnsi="Times New Roman" w:eastAsia="Times New Roman" w:cs="Times New Roman"/>
                <w:color w:val="000000"/>
                <w:sz w:val="20"/>
                <w:szCs w:val="20"/>
              </w:rPr>
              <w:t>256</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BMAS</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Maspion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420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392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368</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314</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BMRI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Mandiri (Persero)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4.625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3.788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7.375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7.450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22</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BNBA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Bumi Arta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190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268</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306</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BNGA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Cimb Niaga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595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645</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915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1.105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BNII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Mybank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263</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246</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BNLI</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Permat 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829</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536</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tabs>
                <w:tab w:val="left" w:pos="276"/>
                <w:tab w:val="right" w:pos="617"/>
              </w:tabs>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b/>
            </w:r>
            <w:r>
              <w:rPr>
                <w:rFonts w:hint="eastAsia" w:ascii="Times New Roman" w:hAnsi="Times New Roman" w:eastAsia="Times New Roman" w:cs="Times New Roman"/>
                <w:color w:val="000000"/>
                <w:sz w:val="20"/>
                <w:szCs w:val="20"/>
              </w:rPr>
              <w:tab/>
            </w:r>
            <w:r>
              <w:rPr>
                <w:rFonts w:hint="eastAsia" w:ascii="Times New Roman" w:hAnsi="Times New Roman" w:eastAsia="Times New Roman" w:cs="Times New Roman"/>
                <w:color w:val="000000"/>
                <w:sz w:val="20"/>
                <w:szCs w:val="20"/>
              </w:rPr>
              <w:t>629</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625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1.010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BSIM</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Sinarmas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393</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870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880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545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BSWD</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Of India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3.595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2.050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1.735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BTPN</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Tabungan Pensiun 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2.400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2.640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2.460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3.440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3.790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29</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BVIC</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Victoria Internasional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107</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190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DNAR</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Dinar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113</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276</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306</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31</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INPC</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Artha Graha Internasional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64</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73</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81</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MAYA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Mayapada Internasional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1.609</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2.768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357</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6.900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MCOR</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China Construction Bank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214</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169</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34</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MEGA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Mega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3.275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2.550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3.340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4.900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4.380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NISP</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Ocbc Nisp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638</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1035</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918</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855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940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NOBU</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National Nobu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452</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760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960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1.000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965</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PNBN</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Pan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820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750</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1.140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1.145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1.410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38</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PNBS</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Panin Dubai Syariah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266</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69</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61</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39 </w:t>
            </w: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SDRA</w:t>
            </w: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Bank Woori Saudara Indonesia Tbk</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1.050</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1.098</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890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860</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850</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JUMLAH</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52.085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60.214</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81.995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89.725</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93.316</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RATA – RATA</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1.335</w:t>
            </w: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1.492</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2.102</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2.248</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2.392</w:t>
            </w:r>
          </w:p>
        </w:tc>
      </w:tr>
      <w:tr>
        <w:tblPrEx>
          <w:tblCellMar>
            <w:top w:w="0" w:type="dxa"/>
            <w:left w:w="108" w:type="dxa"/>
            <w:bottom w:w="0" w:type="dxa"/>
            <w:right w:w="108" w:type="dxa"/>
          </w:tblCellMar>
        </w:tblPrEx>
        <w:trPr>
          <w:trHeight w:val="315" w:hRule="atLeast"/>
          <w:jc w:val="right"/>
        </w:trPr>
        <w:tc>
          <w:tcPr>
            <w:tcW w:w="486" w:type="dxa"/>
            <w:tcBorders>
              <w:top w:val="nil"/>
              <w:left w:val="single" w:color="000000" w:sz="8" w:space="0"/>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828"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337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PERTUMBUHAN</w:t>
            </w:r>
          </w:p>
        </w:tc>
        <w:tc>
          <w:tcPr>
            <w:tcW w:w="804"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p>
        </w:tc>
        <w:tc>
          <w:tcPr>
            <w:tcW w:w="90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11,74%</w:t>
            </w:r>
          </w:p>
        </w:tc>
        <w:tc>
          <w:tcPr>
            <w:tcW w:w="833"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40,89%</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6,97%</w:t>
            </w:r>
          </w:p>
        </w:tc>
        <w:tc>
          <w:tcPr>
            <w:tcW w:w="766" w:type="dxa"/>
            <w:tcBorders>
              <w:top w:val="nil"/>
              <w:left w:val="nil"/>
              <w:bottom w:val="single" w:color="000000" w:sz="8" w:space="0"/>
              <w:right w:val="single" w:color="000000" w:sz="8" w:space="0"/>
            </w:tcBorders>
            <w:shd w:val="clear" w:color="auto" w:fill="auto"/>
            <w:noWrap/>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6,40%</w:t>
            </w:r>
          </w:p>
        </w:tc>
      </w:tr>
    </w:tbl>
    <w:p>
      <w:pPr>
        <w:spacing w:line="240" w:lineRule="auto"/>
        <w:ind w:hanging="720"/>
        <w:rPr>
          <w:rFonts w:ascii="Times New Roman" w:hAnsi="Times New Roman" w:cs="Times New Roman"/>
          <w:b/>
          <w:i/>
          <w:sz w:val="24"/>
          <w:szCs w:val="24"/>
        </w:rPr>
      </w:pPr>
      <w:r>
        <w:rPr>
          <w:rFonts w:ascii="Times New Roman" w:hAnsi="Times New Roman" w:cs="Times New Roman"/>
          <w:b/>
          <w:i/>
          <w:sz w:val="24"/>
          <w:szCs w:val="24"/>
        </w:rPr>
        <w:t>Sumber : data diolah-icmd 2020</w:t>
      </w:r>
    </w:p>
    <w:p>
      <w:pPr>
        <w:spacing w:line="240" w:lineRule="auto"/>
        <w:ind w:firstLine="0"/>
        <w:rPr>
          <w:rFonts w:ascii="Times New Roman" w:hAnsi="Times New Roman" w:cs="Times New Roman"/>
          <w:b/>
          <w:i/>
          <w:sz w:val="24"/>
          <w:szCs w:val="24"/>
        </w:rPr>
      </w:pPr>
    </w:p>
    <w:p>
      <w:pPr>
        <w:ind w:firstLine="720"/>
        <w:rPr>
          <w:rFonts w:ascii="Times New Roman" w:hAnsi="Times New Roman" w:cs="Times New Roman"/>
          <w:sz w:val="24"/>
          <w:szCs w:val="24"/>
        </w:rPr>
      </w:pPr>
      <w:r>
        <w:rPr>
          <w:rFonts w:ascii="Times New Roman" w:hAnsi="Times New Roman" w:cs="Times New Roman"/>
          <w:sz w:val="24"/>
          <w:szCs w:val="24"/>
        </w:rPr>
        <w:t xml:space="preserve">Pertumbuhan pada sub sektor perbankan berdasarkan tabel diatas,pada tahun 2016 sampai 2017 mengalami kenaikan yang signifikan 40.89%. Fenomena ini menunjukkan bahwa </w:t>
      </w:r>
      <w:r>
        <w:rPr>
          <w:rFonts w:ascii="Times New Roman" w:hAnsi="Times New Roman" w:cs="Times New Roman"/>
          <w:i/>
          <w:sz w:val="24"/>
          <w:szCs w:val="24"/>
        </w:rPr>
        <w:t xml:space="preserve">investor </w:t>
      </w:r>
      <w:r>
        <w:rPr>
          <w:rFonts w:ascii="Times New Roman" w:hAnsi="Times New Roman" w:cs="Times New Roman"/>
          <w:sz w:val="24"/>
          <w:szCs w:val="24"/>
        </w:rPr>
        <w:t xml:space="preserve">dilantai bursa masih memiliki tingkat kepercayaan yang tinggi terhadap perbankan, meskipun pada tahun 2016 terjadi adanya perlambatan penyaluran kredit yang hanya tumbuh 7,87% (beritasatu.com, 2017). Salah satu yang mengalami kenaikan pada pertumbuhan tahun 2017 adalah kenaikan rasio </w:t>
      </w:r>
      <w:r>
        <w:rPr>
          <w:rFonts w:ascii="Times New Roman" w:hAnsi="Times New Roman" w:cs="Times New Roman"/>
          <w:i/>
          <w:sz w:val="24"/>
          <w:szCs w:val="24"/>
        </w:rPr>
        <w:t xml:space="preserve">Non Performing Loan </w:t>
      </w:r>
      <w:r>
        <w:rPr>
          <w:rFonts w:ascii="Times New Roman" w:hAnsi="Times New Roman" w:cs="Times New Roman"/>
          <w:sz w:val="24"/>
          <w:szCs w:val="24"/>
        </w:rPr>
        <w:t>(NPL) atau kredit macet yang mulai membaik dengan kondisi ekonomi yang baguspenyaluran kredit menjadi lebih baik(kontan.co.id, 2017).</w:t>
      </w:r>
    </w:p>
    <w:p>
      <w:pPr>
        <w:ind w:firstLine="720"/>
        <w:rPr>
          <w:rFonts w:ascii="Times New Roman" w:hAnsi="Times New Roman" w:cs="Times New Roman"/>
          <w:sz w:val="24"/>
          <w:szCs w:val="24"/>
        </w:rPr>
      </w:pPr>
      <w:r>
        <w:rPr>
          <w:rFonts w:ascii="Times New Roman" w:hAnsi="Times New Roman" w:cs="Times New Roman"/>
          <w:sz w:val="24"/>
          <w:szCs w:val="24"/>
        </w:rPr>
        <w:t xml:space="preserve">Pada tahun 2017 ke tahun 2018 menunjukkan bahwa pertumbuhan harga saham mengalami penurunan akibat dari kenaikan rata-rata harga saham yang tidak signifikan. Penyebabnya adalah akibat kenaikan suku bunga yang diterapkan oleh Bank Indonesia (BI). Kenaikan suku bunga BI akan mempengaruhi suku bunga kredit. Hal ini akan berdampak pada keinginan masyarakat untuk mengambil kredit perbankan akan semakin menurun (kontan. co,id 2018). </w:t>
      </w:r>
      <w:r>
        <w:rPr>
          <w:rStyle w:val="25"/>
          <w:rFonts w:ascii="Times New Roman" w:hAnsi="Times New Roman" w:cs="Times New Roman"/>
          <w:sz w:val="24"/>
          <w:szCs w:val="24"/>
        </w:rPr>
        <w:t xml:space="preserve">Ketika </w:t>
      </w:r>
      <w:r>
        <w:rPr>
          <w:rStyle w:val="25"/>
          <w:rFonts w:ascii="Times New Roman" w:hAnsi="Times New Roman" w:cs="Times New Roman"/>
          <w:bCs/>
          <w:sz w:val="24"/>
          <w:szCs w:val="24"/>
        </w:rPr>
        <w:t xml:space="preserve">suku bunga </w:t>
      </w:r>
      <w:r>
        <w:rPr>
          <w:rStyle w:val="25"/>
          <w:rFonts w:ascii="Times New Roman" w:hAnsi="Times New Roman" w:cs="Times New Roman"/>
          <w:sz w:val="24"/>
          <w:szCs w:val="24"/>
        </w:rPr>
        <w:t xml:space="preserve">kredit naik, maka </w:t>
      </w:r>
      <w:r>
        <w:rPr>
          <w:rStyle w:val="25"/>
          <w:rFonts w:ascii="Times New Roman" w:hAnsi="Times New Roman" w:cs="Times New Roman"/>
          <w:bCs/>
          <w:sz w:val="24"/>
          <w:szCs w:val="24"/>
        </w:rPr>
        <w:t>harga saham</w:t>
      </w:r>
      <w:r>
        <w:rPr>
          <w:rStyle w:val="25"/>
          <w:rFonts w:ascii="Times New Roman" w:hAnsi="Times New Roman" w:cs="Times New Roman"/>
          <w:sz w:val="24"/>
          <w:szCs w:val="24"/>
        </w:rPr>
        <w:t xml:space="preserve"> akan mengalami penurunan.  Sebaliknya, ketika </w:t>
      </w:r>
      <w:r>
        <w:rPr>
          <w:rStyle w:val="25"/>
          <w:rFonts w:ascii="Times New Roman" w:hAnsi="Times New Roman" w:cs="Times New Roman"/>
          <w:bCs/>
          <w:sz w:val="24"/>
          <w:szCs w:val="24"/>
        </w:rPr>
        <w:t>suku bunga</w:t>
      </w:r>
      <w:r>
        <w:rPr>
          <w:rStyle w:val="25"/>
          <w:rFonts w:ascii="Times New Roman" w:hAnsi="Times New Roman" w:cs="Times New Roman"/>
          <w:sz w:val="24"/>
          <w:szCs w:val="24"/>
        </w:rPr>
        <w:t xml:space="preserve"> mengalami penurunan, maka </w:t>
      </w:r>
      <w:r>
        <w:rPr>
          <w:rStyle w:val="25"/>
          <w:rFonts w:ascii="Times New Roman" w:hAnsi="Times New Roman" w:cs="Times New Roman"/>
          <w:bCs/>
          <w:sz w:val="24"/>
          <w:szCs w:val="24"/>
        </w:rPr>
        <w:t>harga saham</w:t>
      </w:r>
      <w:r>
        <w:rPr>
          <w:rStyle w:val="25"/>
          <w:rFonts w:ascii="Times New Roman" w:hAnsi="Times New Roman" w:cs="Times New Roman"/>
          <w:sz w:val="24"/>
          <w:szCs w:val="24"/>
        </w:rPr>
        <w:t xml:space="preserve"> akan mengalami kenaikan. Ketika </w:t>
      </w:r>
      <w:r>
        <w:rPr>
          <w:rStyle w:val="25"/>
          <w:rFonts w:ascii="Times New Roman" w:hAnsi="Times New Roman" w:cs="Times New Roman"/>
          <w:bCs/>
          <w:sz w:val="24"/>
          <w:szCs w:val="24"/>
        </w:rPr>
        <w:t>suku bunga</w:t>
      </w:r>
      <w:r>
        <w:rPr>
          <w:rStyle w:val="25"/>
          <w:rFonts w:ascii="Times New Roman" w:hAnsi="Times New Roman" w:cs="Times New Roman"/>
          <w:sz w:val="24"/>
          <w:szCs w:val="24"/>
        </w:rPr>
        <w:t xml:space="preserve"> mengalami kenaikan, maka laba bersih perbankan diperkirakan turun, karena naiknya beban </w:t>
      </w:r>
      <w:r>
        <w:rPr>
          <w:rStyle w:val="25"/>
          <w:rFonts w:ascii="Times New Roman" w:hAnsi="Times New Roman" w:cs="Times New Roman"/>
          <w:bCs/>
          <w:sz w:val="24"/>
          <w:szCs w:val="24"/>
        </w:rPr>
        <w:t>bunga</w:t>
      </w:r>
      <w:r>
        <w:rPr>
          <w:rFonts w:ascii="Times New Roman" w:hAnsi="Times New Roman" w:cs="Times New Roman"/>
          <w:sz w:val="24"/>
          <w:szCs w:val="24"/>
        </w:rPr>
        <w:t>atau penurunan laba bersih pada perbankan dan akan tercermin pada harga saham. Jadi, jika laba bersih perbankan mengalami penurunan, maka harga saham juga dipastikan akan mengalami penurunan</w:t>
      </w:r>
      <w:r>
        <w:rPr>
          <w:rStyle w:val="25"/>
          <w:rFonts w:ascii="Times New Roman" w:hAnsi="Times New Roman" w:cs="Times New Roman"/>
          <w:bCs/>
          <w:sz w:val="24"/>
          <w:szCs w:val="24"/>
        </w:rPr>
        <w:t xml:space="preserve"> (infovesta.com 2018). </w:t>
      </w:r>
      <w:r>
        <w:rPr>
          <w:rFonts w:ascii="Times New Roman" w:hAnsi="Times New Roman" w:cs="Times New Roman"/>
          <w:sz w:val="24"/>
          <w:szCs w:val="24"/>
        </w:rPr>
        <w:t>Suku bunga yang tinggi akan menyebabkan investor menarik investasinya pada saham perusahaan dan akan berakibat terhadap penurunan harga saham</w:t>
      </w:r>
      <w:r>
        <w:rPr>
          <w:rFonts w:ascii="Arial" w:hAnsi="Arial" w:cs="Arial"/>
          <w:sz w:val="25"/>
          <w:szCs w:val="25"/>
        </w:rPr>
        <w:t xml:space="preserve">, </w:t>
      </w:r>
      <w:r>
        <w:rPr>
          <w:rFonts w:ascii="Times New Roman" w:hAnsi="Times New Roman" w:cs="Times New Roman"/>
          <w:sz w:val="24"/>
          <w:szCs w:val="24"/>
        </w:rPr>
        <w:t>Hal itu juga diperkuat oleh hasil penelitian yang dilakukan oleh Khairunnida (2017) suku bunga berpengaruh terhadap harga saham</w:t>
      </w:r>
    </w:p>
    <w:p>
      <w:pPr>
        <w:ind w:firstLine="720"/>
        <w:rPr>
          <w:rFonts w:ascii="Times New Roman" w:hAnsi="Times New Roman" w:cs="Times New Roman"/>
          <w:sz w:val="24"/>
          <w:szCs w:val="24"/>
        </w:rPr>
      </w:pPr>
      <w:r>
        <w:rPr>
          <w:rFonts w:ascii="Times New Roman" w:hAnsi="Times New Roman" w:cs="Times New Roman"/>
          <w:sz w:val="24"/>
          <w:szCs w:val="24"/>
        </w:rPr>
        <w:t xml:space="preserve">Adapun pada tahun 2018 ke tahun 2019 menunjukkan bahwa pertumbuhan harga saham mengalami penurunan akibat dari kenaikan rata-rata harga saham yang tidak signifikan, penyebab perubahan kenaikan harga saham dipengaruhi oleh </w:t>
      </w:r>
      <w:r>
        <w:rPr>
          <w:rFonts w:ascii="Times New Roman" w:hAnsi="Times New Roman" w:cs="Times New Roman"/>
          <w:i/>
          <w:sz w:val="24"/>
          <w:szCs w:val="24"/>
        </w:rPr>
        <w:t>factor</w:t>
      </w:r>
      <w:r>
        <w:rPr>
          <w:rFonts w:ascii="Times New Roman" w:hAnsi="Times New Roman" w:cs="Times New Roman"/>
          <w:sz w:val="24"/>
          <w:szCs w:val="24"/>
        </w:rPr>
        <w:t xml:space="preserve"> fundamental yang diakibatkan oleh kondisi makroekonomi diantaranya adalah perubahan suku bunga, inflasi, dan nilai tukar dollar AS (Katadata.co,id 2019). Perubahan nilai tukar dolar AS terhadap rupiah dapat dijadikan salah satu penilaian bagi i</w:t>
      </w:r>
      <w:r>
        <w:rPr>
          <w:rFonts w:ascii="Times New Roman" w:hAnsi="Times New Roman" w:cs="Times New Roman"/>
          <w:i/>
          <w:sz w:val="24"/>
          <w:szCs w:val="24"/>
        </w:rPr>
        <w:t>nvestor</w:t>
      </w:r>
      <w:r>
        <w:rPr>
          <w:rFonts w:ascii="Times New Roman" w:hAnsi="Times New Roman" w:cs="Times New Roman"/>
          <w:sz w:val="24"/>
          <w:szCs w:val="24"/>
        </w:rPr>
        <w:t xml:space="preserve"> untuk melihat kondisi perekonomian suatu negara. Jika nilai tukar suatu negara sedang membaik, maka akan menjadi daya tarik bagi investor untuk membeli saham, dan jika nilai tukar suatu negara melemah, maka</w:t>
      </w:r>
      <w:r>
        <w:rPr>
          <w:rFonts w:ascii="Times New Roman" w:hAnsi="Times New Roman" w:cs="Times New Roman"/>
          <w:i/>
          <w:sz w:val="24"/>
          <w:szCs w:val="24"/>
        </w:rPr>
        <w:t>investor</w:t>
      </w:r>
      <w:r>
        <w:rPr>
          <w:rFonts w:ascii="Times New Roman" w:hAnsi="Times New Roman" w:cs="Times New Roman"/>
          <w:sz w:val="24"/>
          <w:szCs w:val="24"/>
        </w:rPr>
        <w:t xml:space="preserve"> tidak ingin mengambil risiko yang tinggi dalam menginvestasikan dananya. Jika inflasi dan suku bunga mengalami kenaikan dan nilai rupiah mengalami penurunanmaka akan berpengaruh pada investasi di pasar modal, tetapi jika inflasi dan suku bunga mengalami penurunan, maka harga saham akan mengalami kenaikan akibat adanya daya beli investor yang tinggi, sehingga permintaan pada saham akan meningkat dan pergerakan harga saham untuk naik. </w:t>
      </w:r>
    </w:p>
    <w:p>
      <w:pPr>
        <w:ind w:firstLine="720"/>
        <w:rPr>
          <w:rFonts w:ascii="Times New Roman" w:hAnsi="Times New Roman" w:cs="Times New Roman"/>
          <w:sz w:val="24"/>
          <w:szCs w:val="24"/>
        </w:rPr>
      </w:pPr>
      <w:r>
        <w:rPr>
          <w:rFonts w:ascii="Times New Roman" w:hAnsi="Times New Roman" w:cs="Times New Roman"/>
          <w:sz w:val="24"/>
          <w:szCs w:val="24"/>
        </w:rPr>
        <w:t xml:space="preserve">Pertumbuhan harga saham tahun 2018  ke tahun 2019 yang mengalami penurunan akibatperlambatan ekonomi sehingga dampaknya pada penurunan minat </w:t>
      </w:r>
      <w:r>
        <w:rPr>
          <w:rFonts w:ascii="Times New Roman" w:hAnsi="Times New Roman" w:cs="Times New Roman"/>
          <w:i/>
          <w:sz w:val="24"/>
          <w:szCs w:val="24"/>
        </w:rPr>
        <w:t>investor</w:t>
      </w:r>
      <w:r>
        <w:rPr>
          <w:rFonts w:ascii="Times New Roman" w:hAnsi="Times New Roman" w:cs="Times New Roman"/>
          <w:sz w:val="24"/>
          <w:szCs w:val="24"/>
        </w:rPr>
        <w:t xml:space="preserve"> untuk berinvestasi pada setiap-setiap perusahaan. Pengaruh pertumbuhan ekonomi yang menurun tentu akan memberikan dampak terhadap masyarakat dalam pemanfaatan kredit bank, perlambatan pertumbuhan ekonomi yang terjadi akan memicu peningkatan </w:t>
      </w:r>
      <w:r>
        <w:rPr>
          <w:rFonts w:ascii="Times New Roman" w:hAnsi="Times New Roman" w:cs="Times New Roman"/>
          <w:i/>
          <w:sz w:val="24"/>
          <w:szCs w:val="24"/>
        </w:rPr>
        <w:t>Non Performin Loan</w:t>
      </w:r>
      <w:r>
        <w:rPr>
          <w:rFonts w:ascii="Times New Roman" w:hAnsi="Times New Roman" w:cs="Times New Roman"/>
          <w:sz w:val="24"/>
          <w:szCs w:val="24"/>
        </w:rPr>
        <w:t xml:space="preserve"> (NPL) perbankan akibat debitur yang tidak mampu melakukan pembayaran kebank. Melehmahnya permintaan berdampak pada pertumbuhan penyaluran kredit (Kontan.co,id. 2020).  Otoritas jasa keuangan menyatakan penyaluran kredit perbankan hanya tumbuh 6,08% (OJK, 2020). </w:t>
      </w:r>
    </w:p>
    <w:p>
      <w:pPr>
        <w:ind w:firstLine="720"/>
        <w:rPr>
          <w:rFonts w:ascii="Times New Roman" w:hAnsi="Times New Roman" w:cs="Times New Roman"/>
          <w:sz w:val="24"/>
          <w:szCs w:val="24"/>
        </w:rPr>
      </w:pPr>
      <w:r>
        <w:rPr>
          <w:rFonts w:ascii="Times New Roman" w:hAnsi="Times New Roman" w:cs="Times New Roman"/>
          <w:sz w:val="24"/>
          <w:szCs w:val="24"/>
        </w:rPr>
        <w:t xml:space="preserve">Tinggi rendahnya penyaluran kredit dapat mempengaruhi harga saham. Harga saham perusahaan sangat mempengaruhi nilai perusahaan untuk melakukan investasi. Semakin baik harga saham perusahaan, maka permintaan sahamnya akan naik. Sesuai dengan hukum permintaan ketika permintaan terhadap saham naik, maka harga saham akan ikut naik. Fluktuasinya harga saham pada sub sektor perbankan dapat menurunkan minat </w:t>
      </w:r>
      <w:r>
        <w:rPr>
          <w:rFonts w:ascii="Times New Roman" w:hAnsi="Times New Roman" w:cs="Times New Roman"/>
          <w:i/>
          <w:sz w:val="24"/>
          <w:szCs w:val="24"/>
        </w:rPr>
        <w:t>investor</w:t>
      </w:r>
      <w:r>
        <w:rPr>
          <w:rFonts w:ascii="Times New Roman" w:hAnsi="Times New Roman" w:cs="Times New Roman"/>
          <w:sz w:val="24"/>
          <w:szCs w:val="24"/>
        </w:rPr>
        <w:t xml:space="preserve"> dalam melakukan investasi. </w:t>
      </w:r>
    </w:p>
    <w:p>
      <w:pPr>
        <w:ind w:firstLine="720"/>
        <w:rPr>
          <w:rFonts w:ascii="Times New Roman" w:hAnsi="Times New Roman" w:cs="Times New Roman"/>
          <w:sz w:val="24"/>
          <w:szCs w:val="24"/>
        </w:rPr>
      </w:pPr>
      <w:r>
        <w:rPr>
          <w:rFonts w:ascii="Times New Roman" w:hAnsi="Times New Roman" w:cs="Times New Roman"/>
          <w:sz w:val="24"/>
          <w:szCs w:val="24"/>
        </w:rPr>
        <w:t xml:space="preserve">Berdasarkan pertumbuhan yang terjadi pada sub sektor perbankan bahwa perusahaan yang ada pada sub sektor perbankan mengalami pertumbuhan harga saham yang tidak stabil. Pertumbuhan perusahaan merupakan suatu harapan yang penting diinginkan oleh pihak internal perusahaan yaitu manajemen maupun eksternal perusahaan, seperti investor dan kreditur. Pertumbuhan diharapkan dapat memberikan aspek yang postif bagi perusahaan sehingga meningkatkan kesempatan berinvestasi diperusahaan tersebut. Bagi investor pertumbuhan perusahaan merupakan suatu prospek yang menguntungkan, karena investasi yang ditanamkan diharapkan akan memberikan </w:t>
      </w:r>
      <w:r>
        <w:rPr>
          <w:rFonts w:ascii="Times New Roman" w:hAnsi="Times New Roman" w:cs="Times New Roman"/>
          <w:i/>
          <w:sz w:val="24"/>
          <w:szCs w:val="24"/>
        </w:rPr>
        <w:t>return</w:t>
      </w:r>
      <w:r>
        <w:rPr>
          <w:rFonts w:ascii="Times New Roman" w:hAnsi="Times New Roman" w:cs="Times New Roman"/>
          <w:sz w:val="24"/>
          <w:szCs w:val="24"/>
        </w:rPr>
        <w:t xml:space="preserve"> yang tinggi dimasa yang akan datang. Perusahaan yang tumbuh akan di respon dan peluang pertumbuhan terlihat pada peluang investasi yang diproksikan dengan berbagai kombinasi nilai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Nilai IOS dapat dihitung dengan kombinasi berbagai jenis proksi yang mengimplikasikan nilai aktiva ditempat yaitu berupa nilai buku maupun ekuitas dan nilai kesempatan untuk bertumbuh bagi suatu perusahaan di masa depan, hal ini dikarenakan </w:t>
      </w:r>
      <w:r>
        <w:rPr>
          <w:rFonts w:ascii="Times New Roman" w:hAnsi="Times New Roman" w:cs="Times New Roman"/>
          <w:i/>
          <w:sz w:val="24"/>
          <w:szCs w:val="24"/>
        </w:rPr>
        <w:t>Invesment Opportunity Set</w:t>
      </w:r>
      <w:r>
        <w:rPr>
          <w:rFonts w:ascii="Times New Roman" w:hAnsi="Times New Roman" w:cs="Times New Roman"/>
          <w:sz w:val="24"/>
          <w:szCs w:val="24"/>
        </w:rPr>
        <w:t xml:space="preserve"> atau set kesempatan investasi dari suatu perusahaan mempengaruhi cara pandang manajer, pemilik, </w:t>
      </w:r>
      <w:r>
        <w:rPr>
          <w:rFonts w:ascii="Times New Roman" w:hAnsi="Times New Roman" w:cs="Times New Roman"/>
          <w:i/>
          <w:sz w:val="24"/>
          <w:szCs w:val="24"/>
        </w:rPr>
        <w:t xml:space="preserve">investor, kreditur </w:t>
      </w:r>
      <w:r>
        <w:rPr>
          <w:rFonts w:ascii="Times New Roman" w:hAnsi="Times New Roman" w:cs="Times New Roman"/>
          <w:sz w:val="24"/>
          <w:szCs w:val="24"/>
        </w:rPr>
        <w:t xml:space="preserve">terhadap perusahaan. Pertumbuhan perusahaan mempunyai pengaruh dalam pengungkapan </w:t>
      </w:r>
      <w:r>
        <w:rPr>
          <w:rFonts w:ascii="Times New Roman" w:hAnsi="Times New Roman" w:cs="Times New Roman"/>
          <w:i/>
          <w:sz w:val="24"/>
          <w:szCs w:val="24"/>
        </w:rPr>
        <w:t>Corporate social responbility (</w:t>
      </w:r>
      <w:r>
        <w:rPr>
          <w:rFonts w:ascii="Times New Roman" w:hAnsi="Times New Roman" w:cs="Times New Roman"/>
          <w:sz w:val="24"/>
          <w:szCs w:val="24"/>
        </w:rPr>
        <w:t xml:space="preserve">CSR), ketika perusahaan sedang tumbuh, tingkat pengungkapan CSR perusahaan semakin besar dan mempengaruhi nilai perusahaan. Pertumbuhan pe  rusahaan yaitu perubahan total aktiva yang dimiliki oleh perusahaan, ketika pertumbuhan perusahaan tinggi dan pengungkapan CSR juga tinggi, maka nilai perusahaan akan meningkat karena informasi mengenai aktivas perusahaan pada lingkungan sekiiarnya dan tentunya akan meningkatkan citra perusahaan yang berdampak pada kenaikan nilai perusahaan. </w:t>
      </w:r>
    </w:p>
    <w:p>
      <w:pPr>
        <w:ind w:firstLine="720"/>
        <w:rPr>
          <w:rFonts w:ascii="Times New Roman" w:hAnsi="Times New Roman" w:cs="Times New Roman"/>
          <w:sz w:val="24"/>
          <w:szCs w:val="24"/>
        </w:rPr>
      </w:pPr>
      <w:r>
        <w:rPr>
          <w:rFonts w:ascii="Times New Roman" w:hAnsi="Times New Roman" w:cs="Times New Roman"/>
          <w:sz w:val="24"/>
          <w:szCs w:val="24"/>
        </w:rPr>
        <w:t xml:space="preserve">Perusahaan yang memiliki tingkat pertumbuhan yang rendah dapat menyebabkan risiko bisnis yang tinggi </w:t>
      </w:r>
      <w:sdt>
        <w:sdtPr>
          <w:rPr>
            <w:rFonts w:ascii="Times New Roman" w:hAnsi="Times New Roman" w:cs="Times New Roman"/>
            <w:i/>
            <w:sz w:val="24"/>
            <w:szCs w:val="24"/>
          </w:rPr>
          <w:id w:val="-1712701185"/>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Sar161 \l 1033  </w:instrText>
          </w:r>
          <w:r>
            <w:rPr>
              <w:rFonts w:ascii="Times New Roman" w:hAnsi="Times New Roman" w:cs="Times New Roman"/>
              <w:i/>
              <w:sz w:val="24"/>
              <w:szCs w:val="24"/>
            </w:rPr>
            <w:fldChar w:fldCharType="separate"/>
          </w:r>
          <w:r>
            <w:rPr>
              <w:rFonts w:ascii="Times New Roman" w:hAnsi="Times New Roman" w:cs="Times New Roman"/>
              <w:sz w:val="24"/>
              <w:szCs w:val="24"/>
            </w:rPr>
            <w:t>(Saraswathi &amp; dkk, 2016)</w:t>
          </w:r>
          <w:r>
            <w:rPr>
              <w:rFonts w:ascii="Times New Roman" w:hAnsi="Times New Roman" w:cs="Times New Roman"/>
              <w:i/>
              <w:sz w:val="24"/>
              <w:szCs w:val="24"/>
            </w:rPr>
            <w:fldChar w:fldCharType="end"/>
          </w:r>
        </w:sdtContent>
      </w:sdt>
      <w:r>
        <w:rPr>
          <w:rFonts w:ascii="Times New Roman" w:hAnsi="Times New Roman" w:cs="Times New Roman"/>
          <w:sz w:val="24"/>
          <w:szCs w:val="24"/>
        </w:rPr>
        <w:t xml:space="preserve">. Jika perusahaan memiliki risiko bisnis yang tinggi maka nilai perusahaan akan turun dimata </w:t>
      </w:r>
      <w:r>
        <w:rPr>
          <w:rFonts w:ascii="Times New Roman" w:hAnsi="Times New Roman" w:cs="Times New Roman"/>
          <w:i/>
          <w:sz w:val="24"/>
          <w:szCs w:val="24"/>
        </w:rPr>
        <w:t xml:space="preserve">investor, </w:t>
      </w:r>
      <w:r>
        <w:rPr>
          <w:rFonts w:ascii="Times New Roman" w:hAnsi="Times New Roman" w:cs="Times New Roman"/>
          <w:sz w:val="24"/>
          <w:szCs w:val="24"/>
        </w:rPr>
        <w:t>sehingga kemungkinan asset perusahaan akan dijual untuk melunasi hutang yang jumlahnya besar dibandingkan untuk mengembalikan nilai sahan yang sudah ditanamkan oleh</w:t>
      </w:r>
      <w:r>
        <w:rPr>
          <w:rFonts w:ascii="Times New Roman" w:hAnsi="Times New Roman" w:cs="Times New Roman"/>
          <w:i/>
          <w:sz w:val="24"/>
          <w:szCs w:val="24"/>
        </w:rPr>
        <w:t xml:space="preserve"> investor. </w:t>
      </w:r>
    </w:p>
    <w:p>
      <w:pPr>
        <w:ind w:firstLine="720"/>
        <w:rPr>
          <w:rFonts w:ascii="Times New Roman" w:hAnsi="Times New Roman" w:cs="Times New Roman"/>
          <w:sz w:val="24"/>
          <w:szCs w:val="24"/>
        </w:rPr>
      </w:pPr>
      <w:r>
        <w:rPr>
          <w:rFonts w:ascii="Times New Roman" w:hAnsi="Times New Roman" w:cs="Times New Roman"/>
          <w:sz w:val="24"/>
          <w:szCs w:val="24"/>
        </w:rPr>
        <w:t xml:space="preserve">Berdasarkan fenomena tersebut, maka penulis mengambil judul penelitian “Pengaruh </w:t>
      </w:r>
      <w:r>
        <w:rPr>
          <w:rFonts w:ascii="Times New Roman" w:hAnsi="Times New Roman" w:cs="Times New Roman"/>
          <w:i/>
          <w:sz w:val="24"/>
          <w:szCs w:val="24"/>
        </w:rPr>
        <w:t>Investment Opportunity Set ,Corporate Social Responbility</w:t>
      </w:r>
      <w:r>
        <w:rPr>
          <w:rFonts w:ascii="Times New Roman" w:hAnsi="Times New Roman" w:cs="Times New Roman"/>
          <w:sz w:val="24"/>
          <w:szCs w:val="24"/>
        </w:rPr>
        <w:t>, Dan Risiko Bisnis Terhadap Nilai Perusahaan Pada Sub Sektor Perbankan Yang Terdaftar Di Bursa Efek Indonesia</w:t>
      </w:r>
    </w:p>
    <w:p>
      <w:pPr>
        <w:pStyle w:val="23"/>
        <w:numPr>
          <w:ilvl w:val="1"/>
          <w:numId w:val="3"/>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Rumusan Masalah</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Berdasarkan uraian di atas,maka yang menjadi rumusan masalah pada penelitian ini adalah sebagai berikut :</w:t>
      </w:r>
    </w:p>
    <w:p>
      <w:pPr>
        <w:pStyle w:val="23"/>
        <w:numPr>
          <w:ilvl w:val="0"/>
          <w:numId w:val="4"/>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Seberapa besar pengaruh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 xml:space="preserve">yang terdiri dari </w:t>
      </w:r>
      <w:r>
        <w:rPr>
          <w:rFonts w:ascii="Times New Roman" w:hAnsi="Times New Roman" w:cs="Times New Roman"/>
          <w:i/>
          <w:sz w:val="24"/>
          <w:szCs w:val="24"/>
        </w:rPr>
        <w:t>MBVE</w:t>
      </w:r>
      <w:r>
        <w:rPr>
          <w:rFonts w:ascii="Times New Roman" w:hAnsi="Times New Roman" w:cs="Times New Roman"/>
          <w:sz w:val="24"/>
          <w:szCs w:val="24"/>
        </w:rPr>
        <w:t xml:space="preserve"> (X1) Terhadap Nilai Perusahaan (Y) Pada Sub Sector Perbankan Yang Terdaftar Di Bursa Efek Indonesia Pada Tahun 2015 -2019.</w:t>
      </w:r>
    </w:p>
    <w:p>
      <w:pPr>
        <w:pStyle w:val="23"/>
        <w:numPr>
          <w:ilvl w:val="0"/>
          <w:numId w:val="4"/>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Seberapa besar pengaruh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 xml:space="preserve">yang terdiri dari </w:t>
      </w:r>
      <w:r>
        <w:rPr>
          <w:rFonts w:ascii="Times New Roman" w:hAnsi="Times New Roman" w:cs="Times New Roman"/>
          <w:i/>
          <w:sz w:val="24"/>
          <w:szCs w:val="24"/>
        </w:rPr>
        <w:t>CAPBVA</w:t>
      </w:r>
      <w:r>
        <w:rPr>
          <w:rFonts w:ascii="Times New Roman" w:hAnsi="Times New Roman" w:cs="Times New Roman"/>
          <w:sz w:val="24"/>
          <w:szCs w:val="24"/>
        </w:rPr>
        <w:t xml:space="preserve"> (X2) Terhadap Nilai Perusahaan (Y) Pada Sub Sector Perbankan Yang Terdaftar Di Bursa Efek Indonesia Pada Tahun 2015 -2019.</w:t>
      </w:r>
    </w:p>
    <w:p>
      <w:pPr>
        <w:pStyle w:val="23"/>
        <w:numPr>
          <w:ilvl w:val="0"/>
          <w:numId w:val="4"/>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rPr>
        <w:t xml:space="preserve">Seberapa besar pengaruh </w:t>
      </w:r>
      <w:r>
        <w:rPr>
          <w:rFonts w:ascii="Times New Roman" w:hAnsi="Times New Roman" w:cs="Times New Roman"/>
          <w:i/>
          <w:sz w:val="24"/>
          <w:szCs w:val="24"/>
        </w:rPr>
        <w:t xml:space="preserve">Corporate Social Responsibility </w:t>
      </w:r>
      <w:r>
        <w:rPr>
          <w:rFonts w:ascii="Times New Roman" w:hAnsi="Times New Roman" w:cs="Times New Roman"/>
          <w:sz w:val="24"/>
          <w:szCs w:val="24"/>
        </w:rPr>
        <w:t xml:space="preserve">yang terdiri dari </w:t>
      </w:r>
      <w:r>
        <w:rPr>
          <w:rFonts w:ascii="Times New Roman" w:hAnsi="Times New Roman" w:cs="Times New Roman"/>
          <w:i/>
          <w:sz w:val="24"/>
          <w:szCs w:val="24"/>
        </w:rPr>
        <w:t>Corporate Social Responsibility Disclosure Index</w:t>
      </w:r>
      <w:r>
        <w:rPr>
          <w:rFonts w:ascii="Times New Roman" w:hAnsi="Times New Roman" w:cs="Times New Roman"/>
          <w:sz w:val="24"/>
          <w:szCs w:val="24"/>
        </w:rPr>
        <w:t>(X3) Terhadap Nilai Perusahaan (Y) Pada Sub Sector Perbankan Yang Terdaftar Di Bursa Efek Indonesia Pada Tahun 2015 -2019.</w:t>
      </w:r>
    </w:p>
    <w:p>
      <w:pPr>
        <w:pStyle w:val="23"/>
        <w:numPr>
          <w:ilvl w:val="0"/>
          <w:numId w:val="4"/>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rPr>
        <w:t xml:space="preserve">Seberapa besar pengaruh Risiko Bisnis yang terdiri dari </w:t>
      </w:r>
      <w:r>
        <w:rPr>
          <w:rFonts w:ascii="Times New Roman" w:hAnsi="Times New Roman" w:cs="Times New Roman"/>
          <w:i/>
          <w:sz w:val="24"/>
          <w:szCs w:val="24"/>
        </w:rPr>
        <w:t>BRISK</w:t>
      </w:r>
      <w:r>
        <w:rPr>
          <w:rFonts w:ascii="Times New Roman" w:hAnsi="Times New Roman" w:cs="Times New Roman"/>
          <w:sz w:val="24"/>
          <w:szCs w:val="24"/>
        </w:rPr>
        <w:t xml:space="preserve"> (X4) Signifikan Terhadap Nilai Perusahaan Pada Sub Sector Perbankan Yang Terdaftar Di Bursa Efek Indonesia Pada Tahun 2015 -2019</w:t>
      </w:r>
    </w:p>
    <w:p>
      <w:pPr>
        <w:pStyle w:val="23"/>
        <w:numPr>
          <w:ilvl w:val="1"/>
          <w:numId w:val="3"/>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Maksud Dan Tujuan Penelitian</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1.3.1 Maksud Penelitian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Maksud dari penelitian ini adalah untuk memperoleh suatu data kuantitatif mengenai Pengaruh </w:t>
      </w:r>
      <w:r>
        <w:rPr>
          <w:rFonts w:ascii="Times New Roman" w:hAnsi="Times New Roman" w:cs="Times New Roman"/>
          <w:i/>
          <w:sz w:val="24"/>
          <w:szCs w:val="24"/>
        </w:rPr>
        <w:t>Investment Opportunity Set, Corporate Social Responsibility</w:t>
      </w:r>
      <w:r>
        <w:rPr>
          <w:rFonts w:ascii="Times New Roman" w:hAnsi="Times New Roman" w:cs="Times New Roman"/>
          <w:sz w:val="24"/>
          <w:szCs w:val="24"/>
        </w:rPr>
        <w:t>, dan Risiko Bisnis Terhadap Nilai Perusahaan dan untuk mengetahui metode manakah yang paling baik digunakan untuk mengetahui nilai perusahaan dalam perusahaan sub sector perbankan yang terdaftar di bursa efek indonesia.</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1.3.2 Tujuan Penelitian</w:t>
      </w:r>
    </w:p>
    <w:p>
      <w:pPr>
        <w:tabs>
          <w:tab w:val="left" w:pos="90"/>
          <w:tab w:val="left" w:pos="720"/>
        </w:tabs>
        <w:ind w:firstLine="0"/>
        <w:rPr>
          <w:rFonts w:ascii="Times New Roman" w:hAnsi="Times New Roman" w:cs="Times New Roman"/>
          <w:sz w:val="24"/>
          <w:szCs w:val="24"/>
        </w:rPr>
      </w:pPr>
      <w:r>
        <w:rPr>
          <w:rFonts w:ascii="Times New Roman" w:hAnsi="Times New Roman" w:cs="Times New Roman"/>
          <w:sz w:val="24"/>
          <w:szCs w:val="24"/>
        </w:rPr>
        <w:t>Tujuan penelitian ini adalah :</w:t>
      </w:r>
    </w:p>
    <w:p>
      <w:pPr>
        <w:pStyle w:val="23"/>
        <w:numPr>
          <w:ilvl w:val="0"/>
          <w:numId w:val="5"/>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Untuk mengetahui Seberapa besar pengaruh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 xml:space="preserve">yang terdiri dari </w:t>
      </w:r>
      <w:r>
        <w:rPr>
          <w:rFonts w:ascii="Times New Roman" w:hAnsi="Times New Roman" w:cs="Times New Roman"/>
          <w:i/>
          <w:sz w:val="24"/>
          <w:szCs w:val="24"/>
        </w:rPr>
        <w:t>MBVE</w:t>
      </w:r>
      <w:r>
        <w:rPr>
          <w:rFonts w:ascii="Times New Roman" w:hAnsi="Times New Roman" w:cs="Times New Roman"/>
          <w:sz w:val="24"/>
          <w:szCs w:val="24"/>
        </w:rPr>
        <w:t xml:space="preserve"> X1) Terhadap Nilai Perusahaan (Y) Pada Sub Sector Perbankan Yang Terdaftar Di Bursa Efek Indonesia Pada Tahun 2015 -2019</w:t>
      </w:r>
    </w:p>
    <w:p>
      <w:pPr>
        <w:pStyle w:val="23"/>
        <w:numPr>
          <w:ilvl w:val="0"/>
          <w:numId w:val="5"/>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Untuk mengetahui Seberapa besar pengaruh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 xml:space="preserve">yang terdiri dari </w:t>
      </w:r>
      <w:r>
        <w:rPr>
          <w:rFonts w:ascii="Times New Roman" w:hAnsi="Times New Roman" w:cs="Times New Roman"/>
          <w:i/>
          <w:sz w:val="24"/>
          <w:szCs w:val="24"/>
        </w:rPr>
        <w:t>CAPBVA</w:t>
      </w:r>
      <w:r>
        <w:rPr>
          <w:rFonts w:ascii="Times New Roman" w:hAnsi="Times New Roman" w:cs="Times New Roman"/>
          <w:sz w:val="24"/>
          <w:szCs w:val="24"/>
        </w:rPr>
        <w:t xml:space="preserve"> (X2) Terhadap Nilai Perusahaan (Y) Pada Sub Sector Perbankan Yang Terdaftar Di Bursa Efek Indonesia Pada Tahun 2015 -2019.</w:t>
      </w:r>
    </w:p>
    <w:p>
      <w:pPr>
        <w:pStyle w:val="23"/>
        <w:numPr>
          <w:ilvl w:val="0"/>
          <w:numId w:val="5"/>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rPr>
        <w:t xml:space="preserve">Untuk Mengetahui Seberapa besar pengaruh </w:t>
      </w:r>
      <w:r>
        <w:rPr>
          <w:rFonts w:ascii="Times New Roman" w:hAnsi="Times New Roman" w:cs="Times New Roman"/>
          <w:i/>
          <w:sz w:val="24"/>
          <w:szCs w:val="24"/>
        </w:rPr>
        <w:t>Coorporate Social Responsibility</w:t>
      </w:r>
      <w:r>
        <w:rPr>
          <w:rFonts w:ascii="Times New Roman" w:hAnsi="Times New Roman" w:cs="Times New Roman"/>
          <w:sz w:val="24"/>
          <w:szCs w:val="24"/>
        </w:rPr>
        <w:t xml:space="preserve"> yang terdiri dari </w:t>
      </w:r>
      <w:r>
        <w:rPr>
          <w:rFonts w:ascii="Times New Roman" w:hAnsi="Times New Roman" w:cs="Times New Roman"/>
          <w:i/>
          <w:sz w:val="24"/>
          <w:szCs w:val="24"/>
        </w:rPr>
        <w:t xml:space="preserve">Corporate Social Responsibility Disclosure Index </w:t>
      </w:r>
      <w:r>
        <w:rPr>
          <w:rFonts w:ascii="Times New Roman" w:hAnsi="Times New Roman" w:cs="Times New Roman"/>
          <w:sz w:val="24"/>
          <w:szCs w:val="24"/>
        </w:rPr>
        <w:t>(X3) Terhadap Nilai Perusahaan (Y) Pada Sub Sector Perbankan Yang Terdaftar Di Bursa Efek Indonesia Pada Tahun 2015 -2019.</w:t>
      </w:r>
    </w:p>
    <w:p>
      <w:pPr>
        <w:pStyle w:val="23"/>
        <w:numPr>
          <w:ilvl w:val="0"/>
          <w:numId w:val="5"/>
        </w:numPr>
        <w:tabs>
          <w:tab w:val="left" w:pos="90"/>
          <w:tab w:val="left" w:pos="720"/>
        </w:tabs>
        <w:spacing w:before="240" w:after="200"/>
        <w:rPr>
          <w:rFonts w:ascii="Times New Roman" w:hAnsi="Times New Roman" w:cs="Times New Roman"/>
          <w:sz w:val="24"/>
          <w:szCs w:val="24"/>
        </w:rPr>
      </w:pPr>
      <w:r>
        <w:rPr>
          <w:rFonts w:ascii="Times New Roman" w:hAnsi="Times New Roman" w:cs="Times New Roman"/>
          <w:sz w:val="24"/>
          <w:szCs w:val="24"/>
        </w:rPr>
        <w:t xml:space="preserve">Untuk Mengetahui Seberapa besar pengaruh Risiko Bisnis yang terdiri dari </w:t>
      </w:r>
      <w:r>
        <w:rPr>
          <w:rFonts w:ascii="Times New Roman" w:hAnsi="Times New Roman" w:cs="Times New Roman"/>
          <w:i/>
          <w:sz w:val="24"/>
          <w:szCs w:val="24"/>
        </w:rPr>
        <w:t>BRISK</w:t>
      </w:r>
      <w:r>
        <w:rPr>
          <w:rFonts w:ascii="Times New Roman" w:hAnsi="Times New Roman" w:cs="Times New Roman"/>
          <w:sz w:val="24"/>
          <w:szCs w:val="24"/>
        </w:rPr>
        <w:t xml:space="preserve"> (X4) Terhadap Nilai Perusahaan (Y) Pada Sub Sektor Perusahaan Sub Sector Perbankan Yang Terdaftar Di Bursa Efek Indonesia Pada Tahun 2015 -2019</w:t>
      </w:r>
    </w:p>
    <w:p>
      <w:pPr>
        <w:pStyle w:val="23"/>
        <w:numPr>
          <w:ilvl w:val="1"/>
          <w:numId w:val="3"/>
        </w:numPr>
        <w:tabs>
          <w:tab w:val="left" w:pos="90"/>
          <w:tab w:val="left" w:pos="720"/>
        </w:tabs>
        <w:spacing w:after="200"/>
        <w:rPr>
          <w:rFonts w:ascii="Times New Roman" w:hAnsi="Times New Roman" w:cs="Times New Roman"/>
          <w:b/>
          <w:sz w:val="24"/>
          <w:szCs w:val="24"/>
        </w:rPr>
      </w:pPr>
      <w:r>
        <w:rPr>
          <w:rFonts w:ascii="Times New Roman" w:hAnsi="Times New Roman" w:cs="Times New Roman"/>
          <w:b/>
          <w:sz w:val="24"/>
          <w:szCs w:val="24"/>
        </w:rPr>
        <w:t>Manfaat Penelitian</w:t>
      </w:r>
    </w:p>
    <w:p>
      <w:pPr>
        <w:pStyle w:val="23"/>
        <w:tabs>
          <w:tab w:val="left" w:pos="90"/>
          <w:tab w:val="left" w:pos="720"/>
        </w:tabs>
        <w:spacing w:after="200"/>
        <w:ind w:left="0" w:firstLine="720"/>
        <w:rPr>
          <w:rFonts w:ascii="Times New Roman" w:hAnsi="Times New Roman" w:cs="Times New Roman"/>
          <w:sz w:val="24"/>
          <w:szCs w:val="24"/>
        </w:rPr>
      </w:pPr>
      <w:r>
        <w:rPr>
          <w:rFonts w:ascii="Times New Roman" w:hAnsi="Times New Roman" w:cs="Times New Roman"/>
          <w:sz w:val="24"/>
          <w:szCs w:val="24"/>
        </w:rPr>
        <w:t xml:space="preserve">Penelitian ini diharapkan dapat memberikan manfaat yang baik bagi peneliti, bagi pengembangan ilmu pengetahuan dan pengetahuan (akademisi). Secara lebih rinci manfaatdari penelitian ini  adalah : </w:t>
      </w:r>
    </w:p>
    <w:p>
      <w:pPr>
        <w:pStyle w:val="23"/>
        <w:numPr>
          <w:ilvl w:val="2"/>
          <w:numId w:val="3"/>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rPr>
        <w:t>Manfaat praktisi</w:t>
      </w:r>
    </w:p>
    <w:p>
      <w:pPr>
        <w:pStyle w:val="23"/>
        <w:numPr>
          <w:ilvl w:val="0"/>
          <w:numId w:val="6"/>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lang w:val="id-ID"/>
        </w:rPr>
        <w:t xml:space="preserve">Memberikan informasi kepada pengurus perusahaan subsektor perbankan bank untuk meningkatkan kualifikasinya sebagai upaya peningkatan </w:t>
      </w:r>
      <w:r>
        <w:rPr>
          <w:rFonts w:ascii="Times New Roman" w:hAnsi="Times New Roman" w:cs="Times New Roman"/>
          <w:i/>
          <w:sz w:val="24"/>
          <w:szCs w:val="24"/>
          <w:lang w:val="id-ID"/>
        </w:rPr>
        <w:t>profesionalisme</w:t>
      </w:r>
    </w:p>
    <w:p>
      <w:pPr>
        <w:pStyle w:val="23"/>
        <w:numPr>
          <w:ilvl w:val="0"/>
          <w:numId w:val="6"/>
        </w:numPr>
        <w:tabs>
          <w:tab w:val="left" w:pos="90"/>
          <w:tab w:val="left" w:pos="720"/>
        </w:tabs>
        <w:spacing w:after="200"/>
        <w:rPr>
          <w:rFonts w:ascii="Times New Roman" w:hAnsi="Times New Roman" w:cs="Times New Roman"/>
          <w:sz w:val="24"/>
          <w:szCs w:val="24"/>
        </w:rPr>
      </w:pPr>
      <w:r>
        <w:rPr>
          <w:rFonts w:ascii="Times New Roman" w:hAnsi="Times New Roman" w:cs="Times New Roman"/>
          <w:sz w:val="24"/>
          <w:szCs w:val="24"/>
          <w:lang w:val="id-ID"/>
        </w:rPr>
        <w:t xml:space="preserve">Meningkatkan wawasan pemilik </w:t>
      </w:r>
      <w:r>
        <w:rPr>
          <w:rFonts w:ascii="Times New Roman" w:hAnsi="Times New Roman" w:cs="Times New Roman"/>
          <w:sz w:val="24"/>
          <w:szCs w:val="24"/>
        </w:rPr>
        <w:t xml:space="preserve">perusahaan </w:t>
      </w:r>
      <w:r>
        <w:rPr>
          <w:rFonts w:ascii="Times New Roman" w:hAnsi="Times New Roman" w:cs="Times New Roman"/>
          <w:sz w:val="24"/>
          <w:szCs w:val="24"/>
          <w:lang w:val="id-ID"/>
        </w:rPr>
        <w:t xml:space="preserve">bahwaaktivitas </w:t>
      </w:r>
      <w:r>
        <w:rPr>
          <w:rFonts w:ascii="Times New Roman" w:hAnsi="Times New Roman" w:cs="Times New Roman"/>
          <w:sz w:val="24"/>
          <w:szCs w:val="24"/>
        </w:rPr>
        <w:t xml:space="preserve">dari </w:t>
      </w:r>
      <w:r>
        <w:rPr>
          <w:rFonts w:ascii="Times New Roman" w:hAnsi="Times New Roman" w:cs="Times New Roman"/>
          <w:sz w:val="24"/>
          <w:szCs w:val="24"/>
          <w:lang w:val="id-ID"/>
        </w:rPr>
        <w:t>perusahaan</w:t>
      </w:r>
      <w:r>
        <w:rPr>
          <w:rFonts w:ascii="Times New Roman" w:hAnsi="Times New Roman" w:cs="Times New Roman"/>
          <w:sz w:val="24"/>
          <w:szCs w:val="24"/>
        </w:rPr>
        <w:t xml:space="preserve"> bisa </w:t>
      </w:r>
      <w:r>
        <w:rPr>
          <w:rFonts w:ascii="Times New Roman" w:hAnsi="Times New Roman" w:cs="Times New Roman"/>
          <w:sz w:val="24"/>
          <w:szCs w:val="24"/>
          <w:lang w:val="id-ID"/>
        </w:rPr>
        <w:t>dipengaruhi oleh kepemimpinan</w:t>
      </w:r>
      <w:r>
        <w:rPr>
          <w:rFonts w:ascii="Times New Roman" w:hAnsi="Times New Roman" w:cs="Times New Roman"/>
          <w:sz w:val="24"/>
          <w:szCs w:val="24"/>
        </w:rPr>
        <w:t xml:space="preserve"> atau </w:t>
      </w:r>
      <w:r>
        <w:rPr>
          <w:rFonts w:ascii="Times New Roman" w:hAnsi="Times New Roman" w:cs="Times New Roman"/>
          <w:sz w:val="24"/>
          <w:szCs w:val="24"/>
          <w:lang w:val="id-ID"/>
        </w:rPr>
        <w:t xml:space="preserve">motivasi </w:t>
      </w:r>
      <w:r>
        <w:rPr>
          <w:rFonts w:ascii="Times New Roman" w:hAnsi="Times New Roman" w:cs="Times New Roman"/>
          <w:sz w:val="24"/>
          <w:szCs w:val="24"/>
        </w:rPr>
        <w:t xml:space="preserve">kerja </w:t>
      </w:r>
      <w:r>
        <w:rPr>
          <w:rFonts w:ascii="Times New Roman" w:hAnsi="Times New Roman" w:cs="Times New Roman"/>
          <w:sz w:val="24"/>
          <w:szCs w:val="24"/>
          <w:lang w:val="id-ID"/>
        </w:rPr>
        <w:t>karyawan</w:t>
      </w:r>
    </w:p>
    <w:p>
      <w:pPr>
        <w:pStyle w:val="23"/>
        <w:numPr>
          <w:ilvl w:val="2"/>
          <w:numId w:val="3"/>
        </w:numPr>
        <w:tabs>
          <w:tab w:val="left" w:pos="90"/>
          <w:tab w:val="left" w:pos="450"/>
          <w:tab w:val="left" w:pos="720"/>
          <w:tab w:val="left" w:pos="990"/>
        </w:tabs>
        <w:spacing w:after="200"/>
        <w:rPr>
          <w:rFonts w:ascii="Times New Roman" w:hAnsi="Times New Roman" w:cs="Times New Roman"/>
          <w:sz w:val="24"/>
          <w:szCs w:val="24"/>
        </w:rPr>
      </w:pPr>
      <w:r>
        <w:rPr>
          <w:rFonts w:ascii="Times New Roman" w:hAnsi="Times New Roman" w:cs="Times New Roman"/>
          <w:sz w:val="24"/>
          <w:szCs w:val="24"/>
        </w:rPr>
        <w:t>Manfaat teoritis</w:t>
      </w:r>
    </w:p>
    <w:p>
      <w:pPr>
        <w:pStyle w:val="23"/>
        <w:tabs>
          <w:tab w:val="left" w:pos="90"/>
          <w:tab w:val="left" w:pos="450"/>
          <w:tab w:val="left" w:pos="720"/>
          <w:tab w:val="left" w:pos="990"/>
        </w:tabs>
        <w:spacing w:after="200"/>
        <w:ind w:firstLine="0"/>
        <w:rPr>
          <w:rFonts w:ascii="Times New Roman" w:hAnsi="Times New Roman" w:cs="Times New Roman"/>
          <w:sz w:val="24"/>
          <w:szCs w:val="24"/>
        </w:rPr>
        <w:sectPr>
          <w:footerReference r:id="rId9" w:type="first"/>
          <w:pgSz w:w="11907" w:h="16840"/>
          <w:pgMar w:top="2275" w:right="1699" w:bottom="1699" w:left="2275" w:header="1728" w:footer="1728" w:gutter="0"/>
          <w:pgNumType w:start="1"/>
          <w:cols w:space="720" w:num="1"/>
          <w:titlePg/>
          <w:docGrid w:linePitch="360" w:charSpace="0"/>
        </w:sectPr>
      </w:pPr>
      <w:r>
        <w:rPr>
          <w:rFonts w:ascii="Times New Roman" w:hAnsi="Times New Roman" w:cs="Times New Roman"/>
          <w:sz w:val="24"/>
          <w:szCs w:val="24"/>
          <w:lang w:val="id-ID"/>
        </w:rPr>
        <w:t xml:space="preserve">Penelitian ini diharapkan dapat </w:t>
      </w:r>
      <w:r>
        <w:rPr>
          <w:rFonts w:ascii="Times New Roman" w:hAnsi="Times New Roman" w:cs="Times New Roman"/>
          <w:sz w:val="24"/>
          <w:szCs w:val="24"/>
        </w:rPr>
        <w:t>menambah wawasan tentang</w:t>
      </w:r>
      <w:r>
        <w:rPr>
          <w:rFonts w:ascii="Times New Roman" w:hAnsi="Times New Roman" w:cs="Times New Roman"/>
          <w:sz w:val="24"/>
          <w:szCs w:val="24"/>
          <w:lang w:val="id-ID"/>
        </w:rPr>
        <w:t xml:space="preserve"> ilmupengetahuan </w:t>
      </w:r>
      <w:r>
        <w:rPr>
          <w:rFonts w:ascii="Times New Roman" w:hAnsi="Times New Roman" w:cs="Times New Roman"/>
          <w:sz w:val="24"/>
          <w:szCs w:val="24"/>
        </w:rPr>
        <w:t>yang khususnya tentang pegaruh</w:t>
      </w:r>
      <w:r>
        <w:rPr>
          <w:rFonts w:ascii="Times New Roman" w:hAnsi="Times New Roman" w:cs="Times New Roman"/>
          <w:i/>
          <w:sz w:val="24"/>
          <w:szCs w:val="24"/>
        </w:rPr>
        <w:t xml:space="preserve"> Investment Opportunity Set, Coorporate Social Responsibility, Dan Risiko Bisnis </w:t>
      </w:r>
      <w:r>
        <w:rPr>
          <w:rFonts w:ascii="Times New Roman" w:hAnsi="Times New Roman" w:cs="Times New Roman"/>
          <w:sz w:val="24"/>
          <w:szCs w:val="24"/>
          <w:lang w:val="id-ID"/>
        </w:rPr>
        <w:t>Terhada</w:t>
      </w:r>
      <w:r>
        <w:rPr>
          <w:rFonts w:ascii="Times New Roman" w:hAnsi="Times New Roman" w:cs="Times New Roman"/>
          <w:sz w:val="24"/>
          <w:szCs w:val="24"/>
        </w:rPr>
        <w:t>p Nilai Perusahaan</w:t>
      </w:r>
      <w:r>
        <w:rPr>
          <w:rFonts w:ascii="Times New Roman" w:hAnsi="Times New Roman" w:cs="Times New Roman"/>
          <w:sz w:val="24"/>
          <w:szCs w:val="24"/>
          <w:lang w:val="id-ID"/>
        </w:rPr>
        <w:t xml:space="preserve">, juga sebagai bahan referensi tambahan bagi </w:t>
      </w:r>
      <w:r>
        <w:rPr>
          <w:rFonts w:ascii="Times New Roman" w:hAnsi="Times New Roman" w:cs="Times New Roman"/>
          <w:sz w:val="24"/>
          <w:szCs w:val="24"/>
        </w:rPr>
        <w:t>penulis selanjutnya.</w:t>
      </w:r>
      <w:r>
        <w:rPr>
          <w:rFonts w:ascii="Times New Roman" w:hAnsi="Times New Roman" w:cs="Times New Roman"/>
          <w:sz w:val="24"/>
          <w:szCs w:val="24"/>
        </w:rPr>
        <w:tab/>
      </w:r>
    </w:p>
    <w:p>
      <w:pPr>
        <w:tabs>
          <w:tab w:val="left" w:pos="90"/>
        </w:tabs>
        <w:ind w:firstLine="0"/>
        <w:jc w:val="center"/>
        <w:rPr>
          <w:rFonts w:ascii="Times New Roman" w:hAnsi="Times New Roman" w:cs="Times New Roman"/>
          <w:b/>
          <w:sz w:val="28"/>
          <w:szCs w:val="28"/>
        </w:rPr>
      </w:pPr>
      <w:r>
        <w:rPr>
          <w:rFonts w:ascii="Times New Roman" w:hAnsi="Times New Roman" w:cs="Times New Roman"/>
          <w:b/>
          <w:sz w:val="28"/>
          <w:szCs w:val="28"/>
        </w:rPr>
        <w:t>BAB II</w:t>
      </w:r>
    </w:p>
    <w:p>
      <w:pPr>
        <w:tabs>
          <w:tab w:val="left" w:pos="90"/>
          <w:tab w:val="left" w:pos="270"/>
        </w:tabs>
        <w:ind w:firstLine="0"/>
        <w:jc w:val="center"/>
        <w:rPr>
          <w:rFonts w:ascii="Times New Roman" w:hAnsi="Times New Roman" w:cs="Times New Roman"/>
          <w:b/>
          <w:sz w:val="28"/>
          <w:szCs w:val="28"/>
        </w:rPr>
      </w:pPr>
      <w:r>
        <w:rPr>
          <w:rFonts w:ascii="Times New Roman" w:hAnsi="Times New Roman" w:cs="Times New Roman"/>
          <w:b/>
          <w:sz w:val="28"/>
          <w:szCs w:val="28"/>
        </w:rPr>
        <w:t>KAJIAN PUSTAKA,KERANGKA PEMIKIRAN DAN HIPOTESIS</w:t>
      </w:r>
    </w:p>
    <w:p>
      <w:pPr>
        <w:pStyle w:val="23"/>
        <w:numPr>
          <w:ilvl w:val="1"/>
          <w:numId w:val="7"/>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Kajian Pustaka</w:t>
      </w:r>
    </w:p>
    <w:p>
      <w:pPr>
        <w:pStyle w:val="23"/>
        <w:numPr>
          <w:ilvl w:val="2"/>
          <w:numId w:val="7"/>
        </w:numPr>
        <w:tabs>
          <w:tab w:val="left" w:pos="8550"/>
        </w:tabs>
        <w:rPr>
          <w:rFonts w:ascii="Times New Roman" w:hAnsi="Times New Roman" w:cs="Times New Roman"/>
          <w:b/>
          <w:i/>
          <w:sz w:val="24"/>
          <w:szCs w:val="24"/>
        </w:rPr>
      </w:pPr>
      <w:r>
        <w:rPr>
          <w:rFonts w:ascii="Times New Roman" w:hAnsi="Times New Roman" w:cs="Times New Roman"/>
          <w:b/>
          <w:sz w:val="24"/>
          <w:szCs w:val="24"/>
        </w:rPr>
        <w:t xml:space="preserve">Definisi </w:t>
      </w:r>
      <w:r>
        <w:rPr>
          <w:rFonts w:ascii="Times New Roman" w:hAnsi="Times New Roman" w:cs="Times New Roman"/>
          <w:b/>
          <w:i/>
          <w:sz w:val="24"/>
          <w:szCs w:val="24"/>
        </w:rPr>
        <w:t>Investment Opportunity Set</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Menurut Zulman dan Abbas (2019), </w:t>
      </w:r>
      <w:r>
        <w:rPr>
          <w:rFonts w:ascii="Times New Roman" w:hAnsi="Times New Roman" w:cs="Times New Roman"/>
          <w:i/>
          <w:sz w:val="24"/>
          <w:szCs w:val="24"/>
        </w:rPr>
        <w:t>Invesment Opportunity Set/</w:t>
      </w:r>
      <w:r>
        <w:rPr>
          <w:rFonts w:ascii="Times New Roman" w:hAnsi="Times New Roman" w:cs="Times New Roman"/>
          <w:sz w:val="24"/>
          <w:szCs w:val="24"/>
        </w:rPr>
        <w:t>Set kesempatan investasi digunakan sebagai dasar untuk menentukan klasifikasi pertumbuhan perusahaan di masa depan. Besar kecilnya set kesempatan investasi tergantung pada pengeluaran yang diputuskan oleh manajemen di masa depan. Pada saat ini, pilihan investasi dapat diharapkan, dan pengembalian yang dihasilkan akan lebih besar daripada biaya ekuitas (cost of equity), dan dapat menghasilkan keuntungan Ali Sanda (2018).</w:t>
      </w:r>
    </w:p>
    <w:p>
      <w:pPr>
        <w:tabs>
          <w:tab w:val="left" w:pos="8550"/>
        </w:tabs>
        <w:ind w:firstLine="720"/>
        <w:rPr>
          <w:rFonts w:ascii="Arial" w:hAnsi="Arial" w:cs="Arial"/>
          <w:sz w:val="28"/>
          <w:szCs w:val="28"/>
        </w:rPr>
      </w:pP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menggambarkan luasnya peluang investasi bagi suatu perusahaan, namun IOS sangat tergantung pada pengeluaran perusahaan dimasa yang datang. Pilihan investasi merupakan suatu kesempatan untuk berkembang, apabila dilihat dari teori </w:t>
      </w:r>
      <w:r>
        <w:rPr>
          <w:rFonts w:ascii="Times New Roman" w:hAnsi="Times New Roman" w:cs="Times New Roman"/>
          <w:i/>
          <w:sz w:val="24"/>
          <w:szCs w:val="24"/>
        </w:rPr>
        <w:t>sinyal</w:t>
      </w:r>
      <w:r>
        <w:rPr>
          <w:rFonts w:ascii="Times New Roman" w:hAnsi="Times New Roman" w:cs="Times New Roman"/>
          <w:sz w:val="24"/>
          <w:szCs w:val="24"/>
        </w:rPr>
        <w:t xml:space="preserve"> terjadinya pengeluaran untuk investasi oleh perusahaan akan memberikan sinyal yang baik tentang pertumbuhan perusahaan di masa yang akan datang, hal ini disebabkan oleh persepsi dari para pasar modal yang melihat bahwa penguluaran untuk investasi menunjukkan keseriusan manajemen dalam mengembangkan perusahaan. Dengan adanya kebijakan investasi yang dilakukan oleh perusahaan, diharapkan perusahaan akan mendapatkan </w:t>
      </w:r>
      <w:r>
        <w:rPr>
          <w:rFonts w:ascii="Times New Roman" w:hAnsi="Times New Roman" w:cs="Times New Roman"/>
          <w:i/>
          <w:sz w:val="24"/>
          <w:szCs w:val="24"/>
        </w:rPr>
        <w:t xml:space="preserve">return </w:t>
      </w:r>
      <w:r>
        <w:rPr>
          <w:rFonts w:ascii="Times New Roman" w:hAnsi="Times New Roman" w:cs="Times New Roman"/>
          <w:sz w:val="24"/>
          <w:szCs w:val="24"/>
        </w:rPr>
        <w:t xml:space="preserve">dalam jangka waktu tertentu. Hal ini ini akan di respon baik oleh pasar dan harga saham sebagai indikator dari nilai perusahaan akan meningkat </w:t>
      </w:r>
      <w:sdt>
        <w:sdtPr>
          <w:rPr>
            <w:rFonts w:ascii="Times New Roman" w:hAnsi="Times New Roman" w:cs="Times New Roman"/>
            <w:sz w:val="24"/>
            <w:szCs w:val="24"/>
          </w:rPr>
          <w:id w:val="-1841160212"/>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Wij20 \l 1033 </w:instrText>
          </w:r>
          <w:r>
            <w:rPr>
              <w:rFonts w:ascii="Times New Roman" w:hAnsi="Times New Roman" w:cs="Times New Roman"/>
              <w:sz w:val="24"/>
              <w:szCs w:val="24"/>
            </w:rPr>
            <w:fldChar w:fldCharType="separate"/>
          </w:r>
          <w:r>
            <w:rPr>
              <w:rFonts w:ascii="Times New Roman" w:hAnsi="Times New Roman" w:cs="Times New Roman"/>
              <w:sz w:val="24"/>
              <w:szCs w:val="24"/>
            </w:rPr>
            <w:t>(Wijaya &amp; Suganda, 2020)</w:t>
          </w:r>
          <w:r>
            <w:rPr>
              <w:rFonts w:ascii="Times New Roman" w:hAnsi="Times New Roman" w:cs="Times New Roman"/>
              <w:sz w:val="24"/>
              <w:szCs w:val="24"/>
            </w:rPr>
            <w:fldChar w:fldCharType="end"/>
          </w:r>
        </w:sdtContent>
      </w:sdt>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 Berdasarkan kesimpulan dari </w:t>
      </w:r>
      <w:r>
        <w:rPr>
          <w:rFonts w:ascii="Times New Roman" w:hAnsi="Times New Roman" w:cs="Times New Roman"/>
          <w:i/>
          <w:sz w:val="24"/>
          <w:szCs w:val="24"/>
        </w:rPr>
        <w:t>Invesment Opportunity Set</w:t>
      </w:r>
      <w:r>
        <w:rPr>
          <w:rFonts w:ascii="Times New Roman" w:hAnsi="Times New Roman" w:cs="Times New Roman"/>
          <w:sz w:val="24"/>
          <w:szCs w:val="24"/>
        </w:rPr>
        <w:t xml:space="preserve"> adalah pengeluaran masa depan saat ini dan pendapatan saham atau pendapatan prospek masa depan, yaitu pendapatan dan hasil investasi untuk menghasilkan nilai masa depan.</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2.1.1.1Pengukuran Investment Opportunity Set (IOS)</w:t>
      </w:r>
    </w:p>
    <w:p>
      <w:pPr>
        <w:tabs>
          <w:tab w:val="left" w:pos="90"/>
          <w:tab w:val="left" w:pos="720"/>
        </w:tabs>
        <w:ind w:firstLine="810"/>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702638723"/>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Sap191 \l 1033 </w:instrText>
          </w:r>
          <w:r>
            <w:rPr>
              <w:rFonts w:ascii="Times New Roman" w:hAnsi="Times New Roman" w:cs="Times New Roman"/>
              <w:sz w:val="24"/>
              <w:szCs w:val="24"/>
            </w:rPr>
            <w:fldChar w:fldCharType="separate"/>
          </w:r>
          <w:r>
            <w:rPr>
              <w:rFonts w:ascii="Times New Roman" w:hAnsi="Times New Roman" w:cs="Times New Roman"/>
              <w:sz w:val="24"/>
              <w:szCs w:val="24"/>
            </w:rPr>
            <w:t>(Saputri T. O., 2019)</w:t>
          </w:r>
          <w:r>
            <w:rPr>
              <w:rFonts w:ascii="Times New Roman" w:hAnsi="Times New Roman" w:cs="Times New Roman"/>
              <w:sz w:val="24"/>
              <w:szCs w:val="24"/>
            </w:rPr>
            <w:fldChar w:fldCharType="end"/>
          </w:r>
        </w:sdtContent>
      </w:sdt>
      <w:r>
        <w:rPr>
          <w:rFonts w:ascii="Times New Roman" w:hAnsi="Times New Roman" w:cs="Times New Roman"/>
          <w:sz w:val="24"/>
          <w:szCs w:val="24"/>
        </w:rPr>
        <w:t>bahwa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dapat diukur melalui rasio nilai buku ekuitas (</w:t>
      </w:r>
      <w:r>
        <w:rPr>
          <w:rFonts w:ascii="Times New Roman" w:hAnsi="Times New Roman" w:cs="Times New Roman"/>
          <w:i/>
          <w:sz w:val="24"/>
          <w:szCs w:val="24"/>
        </w:rPr>
        <w:t>Market To Book Value Of Equity)”,</w:t>
      </w:r>
      <w:r>
        <w:rPr>
          <w:rFonts w:ascii="Times New Roman" w:hAnsi="Times New Roman" w:cs="Times New Roman"/>
          <w:sz w:val="24"/>
          <w:szCs w:val="24"/>
        </w:rPr>
        <w:t>suatu perusahaan dapat memanfaatkan modalnyadengan baik dalam menjalankan usaha, jika semakin besar modal perusahaan tersebut maka akan diperkirakan nilai suatu perusahaan akan meningkat.</w:t>
      </w:r>
    </w:p>
    <w:p>
      <w:pPr>
        <w:tabs>
          <w:tab w:val="left" w:pos="90"/>
          <w:tab w:val="left" w:pos="720"/>
        </w:tabs>
        <w:ind w:firstLine="810"/>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i/>
          <w:sz w:val="24"/>
          <w:szCs w:val="24"/>
        </w:rPr>
        <w:t>Investment Opportunity Set</w:t>
      </w:r>
      <w:r>
        <w:rPr>
          <w:rFonts w:ascii="Times New Roman" w:hAnsi="Times New Roman" w:cs="Times New Roman"/>
          <w:sz w:val="24"/>
          <w:szCs w:val="24"/>
        </w:rPr>
        <w:t xml:space="preserve"> (IOS) dalam penelitian ini diukur menggunakan dua proksi, yaitu:</w:t>
      </w:r>
    </w:p>
    <w:p>
      <w:pPr>
        <w:tabs>
          <w:tab w:val="left" w:pos="90"/>
          <w:tab w:val="left" w:pos="720"/>
        </w:tabs>
        <w:ind w:firstLine="0"/>
        <w:rPr>
          <w:rFonts w:ascii="Times New Roman" w:hAnsi="Times New Roman" w:cs="Times New Roman"/>
          <w:sz w:val="24"/>
          <w:szCs w:val="24"/>
        </w:rPr>
      </w:pPr>
      <w:r>
        <w:rPr>
          <w:rFonts w:ascii="Times New Roman" w:hAnsi="Times New Roman" w:cs="Times New Roman"/>
          <w:sz w:val="24"/>
          <w:szCs w:val="24"/>
        </w:rPr>
        <w:t>1.Proksi IOS berdasarkan Harga</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lang w:eastAsia="zh-TW"/>
        </w:rPr>
        <w:pict>
          <v:shape id="_x0000_s1140" o:spid="_x0000_s1140" o:spt="202" type="#_x0000_t202" style="position:absolute;left:0pt;margin-left:38.05pt;margin-top:105.25pt;height:52.5pt;width:355.95pt;z-index:251686912;mso-width-relative:margin;mso-height-relative:margin;" coordsize="21600,21600">
            <v:path/>
            <v:fill focussize="0,0"/>
            <v:stroke joinstyle="miter"/>
            <v:imagedata o:title=""/>
            <o:lock v:ext="edit"/>
            <v:textbox>
              <w:txbxContent>
                <w:p>
                  <w:pPr>
                    <w:tabs>
                      <w:tab w:val="left" w:pos="8550"/>
                    </w:tabs>
                    <w:ind w:firstLine="0"/>
                    <w:rPr>
                      <w:rFonts w:ascii="Times New Roman" w:hAnsi="Times New Roman" w:cs="Times New Roman" w:eastAsiaTheme="minorEastAsia"/>
                      <w:sz w:val="24"/>
                      <w:szCs w:val="24"/>
                    </w:rPr>
                  </w:pPr>
                  <w:r>
                    <w:rPr>
                      <w:rFonts w:ascii="Times New Roman" w:hAnsi="Times New Roman" w:cs="Times New Roman"/>
                      <w:sz w:val="24"/>
                      <w:szCs w:val="24"/>
                    </w:rPr>
                    <w:t>MBVE</w:t>
                  </w:r>
                  <m:oMath>
                    <m:r>
                      <m:rPr/>
                      <w:rPr>
                        <w:rFonts w:ascii="Cambria Math" w:hAnsi="Times New Roman" w:cs="Times New Roman"/>
                        <w:sz w:val="24"/>
                        <w:szCs w:val="24"/>
                      </w:rPr>
                      <m:t xml:space="preserve"> :</m:t>
                    </m:r>
                    <m:f>
                      <m:fPr>
                        <m:ctrlPr>
                          <w:rPr>
                            <w:rFonts w:ascii="Cambria Math" w:hAnsi="Times New Roman" w:cs="Times New Roman"/>
                            <w:i/>
                            <w:sz w:val="24"/>
                            <w:szCs w:val="24"/>
                          </w:rPr>
                        </m:ctrlPr>
                      </m:fPr>
                      <m:num>
                        <m:r>
                          <m:rPr>
                            <m:sty m:val="p"/>
                          </m:rPr>
                          <w:rPr>
                            <w:rFonts w:ascii="Cambria Math" w:hAnsi="Times New Roman" w:cs="Times New Roman"/>
                            <w:sz w:val="24"/>
                            <w:szCs w:val="24"/>
                          </w:rPr>
                          <m:t>JUMLAH LEMBAR SAHAM BEREDAR X HARGA PENUTUPAN SAHAM</m:t>
                        </m:r>
                        <m:ctrlPr>
                          <w:rPr>
                            <w:rFonts w:ascii="Cambria Math" w:hAnsi="Times New Roman" w:cs="Times New Roman"/>
                            <w:i/>
                            <w:sz w:val="24"/>
                            <w:szCs w:val="24"/>
                          </w:rPr>
                        </m:ctrlPr>
                      </m:num>
                      <m:den>
                        <m:r>
                          <m:rPr>
                            <m:sty m:val="p"/>
                          </m:rPr>
                          <w:rPr>
                            <w:rFonts w:ascii="Cambria Math" w:hAnsi="Times New Roman" w:cs="Times New Roman"/>
                            <w:sz w:val="24"/>
                            <w:szCs w:val="24"/>
                          </w:rPr>
                          <m:t>TOTAL EQUITY</m:t>
                        </m:r>
                        <m:ctrlPr>
                          <w:rPr>
                            <w:rFonts w:ascii="Cambria Math" w:hAnsi="Times New Roman" w:cs="Times New Roman"/>
                            <w:i/>
                            <w:sz w:val="24"/>
                            <w:szCs w:val="24"/>
                          </w:rPr>
                        </m:ctrlPr>
                      </m:den>
                    </m:f>
                  </m:oMath>
                </w:p>
                <w:p/>
              </w:txbxContent>
            </v:textbox>
          </v:shape>
        </w:pict>
      </w:r>
      <w:r>
        <w:rPr>
          <w:rFonts w:ascii="Times New Roman" w:hAnsi="Times New Roman" w:cs="Times New Roman"/>
          <w:sz w:val="24"/>
          <w:szCs w:val="24"/>
        </w:rPr>
        <w:t xml:space="preserve">Peneliti menggunakan proksi </w:t>
      </w:r>
      <w:r>
        <w:rPr>
          <w:rFonts w:ascii="Times New Roman" w:hAnsi="Times New Roman" w:cs="Times New Roman"/>
          <w:i/>
          <w:sz w:val="24"/>
          <w:szCs w:val="24"/>
        </w:rPr>
        <w:t>Market Value Equity to Book Value Equity</w:t>
      </w:r>
      <w:r>
        <w:rPr>
          <w:rFonts w:ascii="Times New Roman" w:hAnsi="Times New Roman" w:cs="Times New Roman"/>
          <w:sz w:val="24"/>
          <w:szCs w:val="24"/>
        </w:rPr>
        <w:t xml:space="preserve"> (MVE/BVE) adalah proksi yang berbasis harga dengan prospek pertumbuhan perusahaan dalam harga pasar. Menurut Purbaet al. (2017) </w:t>
      </w:r>
      <w:r>
        <w:rPr>
          <w:rFonts w:ascii="Times New Roman" w:hAnsi="Times New Roman" w:cs="Times New Roman"/>
          <w:i/>
          <w:sz w:val="24"/>
          <w:szCs w:val="24"/>
        </w:rPr>
        <w:t xml:space="preserve">Market to Book Value Equity </w:t>
      </w:r>
      <w:r>
        <w:rPr>
          <w:rFonts w:ascii="Times New Roman" w:hAnsi="Times New Roman" w:cs="Times New Roman"/>
          <w:sz w:val="24"/>
          <w:szCs w:val="24"/>
        </w:rPr>
        <w:t>dapat dihitung dengan rumus sebagai berikut :</w:t>
      </w:r>
    </w:p>
    <w:p>
      <w:pPr>
        <w:tabs>
          <w:tab w:val="left" w:pos="8550"/>
        </w:tabs>
        <w:ind w:firstLine="0"/>
        <w:rPr>
          <w:rFonts w:ascii="Times New Roman" w:hAnsi="Times New Roman" w:cs="Times New Roman" w:eastAsiaTheme="minorEastAsia"/>
          <w:i/>
          <w:sz w:val="24"/>
          <w:szCs w:val="24"/>
        </w:rPr>
      </w:pPr>
    </w:p>
    <w:p>
      <w:pPr>
        <w:tabs>
          <w:tab w:val="left" w:pos="8550"/>
        </w:tabs>
        <w:ind w:firstLine="0"/>
        <w:rPr>
          <w:rFonts w:ascii="Times New Roman" w:hAnsi="Times New Roman" w:cs="Times New Roman" w:eastAsiaTheme="minorEastAsia"/>
          <w:i/>
          <w:sz w:val="24"/>
          <w:szCs w:val="24"/>
        </w:rPr>
      </w:pPr>
    </w:p>
    <w:p>
      <w:pPr>
        <w:tabs>
          <w:tab w:val="left" w:pos="8550"/>
        </w:tabs>
        <w:ind w:firstLine="0"/>
        <w:jc w:val="center"/>
        <w:rPr>
          <w:rFonts w:ascii="Times New Roman" w:hAnsi="Times New Roman" w:cs="Times New Roman" w:eastAsiaTheme="minorEastAsia"/>
          <w:sz w:val="24"/>
          <w:szCs w:val="24"/>
        </w:rPr>
      </w:pPr>
      <w:r>
        <w:rPr>
          <w:rFonts w:ascii="Times New Roman" w:hAnsi="Times New Roman" w:cs="Times New Roman" w:eastAsiaTheme="minorEastAsia"/>
          <w:i/>
          <w:sz w:val="24"/>
          <w:szCs w:val="24"/>
        </w:rPr>
        <w:t>Sumber : (Putri &amp; Setiawan, 2019</w:t>
      </w:r>
      <w:r>
        <w:rPr>
          <w:rFonts w:ascii="Times New Roman" w:hAnsi="Times New Roman" w:cs="Times New Roman" w:eastAsiaTheme="minorEastAsia"/>
          <w:sz w:val="24"/>
          <w:szCs w:val="24"/>
        </w:rPr>
        <w:t>)</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Keterangan: </w:t>
      </w:r>
    </w:p>
    <w:p>
      <w:pPr>
        <w:tabs>
          <w:tab w:val="left" w:pos="630"/>
          <w:tab w:val="left" w:pos="8550"/>
        </w:tabs>
        <w:rPr>
          <w:rFonts w:ascii="Times New Roman" w:hAnsi="Times New Roman" w:cs="Times New Roman"/>
          <w:sz w:val="24"/>
          <w:szCs w:val="24"/>
        </w:rPr>
      </w:pPr>
      <w:r>
        <w:rPr>
          <w:rFonts w:ascii="Times New Roman" w:hAnsi="Times New Roman" w:cs="Times New Roman"/>
          <w:sz w:val="24"/>
          <w:szCs w:val="24"/>
        </w:rPr>
        <w:t xml:space="preserve">MBVE                                                            :    </w:t>
      </w:r>
      <w:r>
        <w:rPr>
          <w:rFonts w:ascii="Times New Roman" w:hAnsi="Times New Roman" w:cs="Times New Roman"/>
          <w:i/>
          <w:sz w:val="24"/>
          <w:szCs w:val="24"/>
        </w:rPr>
        <w:t>Market to Book Value Equity</w:t>
      </w:r>
    </w:p>
    <w:p>
      <w:pPr>
        <w:tabs>
          <w:tab w:val="left" w:pos="1080"/>
          <w:tab w:val="left" w:pos="4590"/>
          <w:tab w:val="left" w:pos="4950"/>
          <w:tab w:val="left" w:pos="8550"/>
        </w:tabs>
        <w:ind w:left="5040" w:hanging="4680"/>
        <w:rPr>
          <w:rFonts w:ascii="Times New Roman" w:hAnsi="Times New Roman" w:cs="Times New Roman"/>
          <w:sz w:val="24"/>
          <w:szCs w:val="24"/>
        </w:rPr>
      </w:pPr>
      <w:r>
        <w:rPr>
          <w:rFonts w:ascii="Times New Roman" w:hAnsi="Times New Roman" w:cs="Times New Roman"/>
          <w:sz w:val="24"/>
          <w:szCs w:val="24"/>
        </w:rPr>
        <w:t>Jumlah lembar saham yang beredar</w:t>
      </w:r>
      <w:r>
        <w:rPr>
          <w:rFonts w:ascii="Times New Roman" w:hAnsi="Times New Roman" w:cs="Times New Roman"/>
          <w:sz w:val="24"/>
          <w:szCs w:val="24"/>
        </w:rPr>
        <w:tab/>
      </w:r>
      <w:r>
        <w:rPr>
          <w:rFonts w:ascii="Times New Roman" w:hAnsi="Times New Roman" w:cs="Times New Roman"/>
          <w:sz w:val="24"/>
          <w:szCs w:val="24"/>
        </w:rPr>
        <w:t xml:space="preserve"> : Jumlah saham yang beredar dipublic</w:t>
      </w:r>
    </w:p>
    <w:p>
      <w:pPr>
        <w:tabs>
          <w:tab w:val="left" w:pos="1080"/>
          <w:tab w:val="left" w:pos="4590"/>
          <w:tab w:val="left" w:pos="4950"/>
          <w:tab w:val="left" w:pos="8550"/>
        </w:tabs>
        <w:ind w:left="5040" w:hanging="4680"/>
        <w:rPr>
          <w:rFonts w:ascii="Times New Roman" w:hAnsi="Times New Roman" w:cs="Times New Roman"/>
          <w:sz w:val="24"/>
          <w:szCs w:val="24"/>
        </w:rPr>
      </w:pPr>
      <w:r>
        <w:rPr>
          <w:rFonts w:ascii="Times New Roman" w:hAnsi="Times New Roman" w:cs="Times New Roman"/>
          <w:sz w:val="24"/>
          <w:szCs w:val="24"/>
        </w:rPr>
        <w:t xml:space="preserve"> Harga Penutupan Saham </w:t>
      </w:r>
      <w:r>
        <w:rPr>
          <w:rFonts w:ascii="Times New Roman" w:hAnsi="Times New Roman" w:cs="Times New Roman"/>
          <w:sz w:val="24"/>
          <w:szCs w:val="24"/>
        </w:rPr>
        <w:tab/>
      </w:r>
      <w:r>
        <w:rPr>
          <w:rFonts w:ascii="Times New Roman" w:hAnsi="Times New Roman" w:cs="Times New Roman"/>
          <w:sz w:val="24"/>
          <w:szCs w:val="24"/>
        </w:rPr>
        <w:t>: Harga jual penutupan saham akhir tahun.</w:t>
      </w:r>
    </w:p>
    <w:p>
      <w:pPr>
        <w:tabs>
          <w:tab w:val="left" w:pos="720"/>
          <w:tab w:val="left" w:pos="1710"/>
          <w:tab w:val="left" w:pos="4140"/>
          <w:tab w:val="left" w:pos="4410"/>
          <w:tab w:val="left" w:pos="4680"/>
          <w:tab w:val="left" w:pos="4860"/>
          <w:tab w:val="left" w:pos="8550"/>
        </w:tabs>
        <w:ind w:left="4770" w:hanging="4410"/>
        <w:rPr>
          <w:rFonts w:ascii="Times New Roman" w:hAnsi="Times New Roman" w:cs="Times New Roman"/>
          <w:sz w:val="24"/>
          <w:szCs w:val="24"/>
        </w:rPr>
      </w:pPr>
      <w:r>
        <w:rPr>
          <w:rFonts w:ascii="Times New Roman" w:hAnsi="Times New Roman" w:cs="Times New Roman"/>
          <w:sz w:val="24"/>
          <w:szCs w:val="24"/>
        </w:rPr>
        <w:t>Total Equit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Total ekuitas (modal yang berasal dari penjualan saham).</w:t>
      </w:r>
    </w:p>
    <w:p>
      <w:pPr>
        <w:ind w:firstLine="0"/>
        <w:rPr>
          <w:rFonts w:ascii="Times New Roman" w:hAnsi="Times New Roman" w:cs="Times New Roman"/>
          <w:sz w:val="24"/>
          <w:szCs w:val="24"/>
        </w:rPr>
      </w:pPr>
      <w:r>
        <w:rPr>
          <w:rFonts w:ascii="Times New Roman" w:hAnsi="Times New Roman" w:cs="Times New Roman" w:eastAsiaTheme="minorEastAsia"/>
          <w:sz w:val="24"/>
          <w:szCs w:val="24"/>
        </w:rPr>
        <w:t xml:space="preserve">2. </w:t>
      </w:r>
      <w:r>
        <w:rPr>
          <w:rFonts w:ascii="Times New Roman" w:hAnsi="Times New Roman" w:cs="Times New Roman"/>
          <w:sz w:val="24"/>
          <w:szCs w:val="24"/>
        </w:rPr>
        <w:t xml:space="preserve">Proksi IOS berdasarkan Investasi </w:t>
      </w:r>
    </w:p>
    <w:p>
      <w:pPr>
        <w:tabs>
          <w:tab w:val="left" w:pos="8550"/>
        </w:tabs>
        <w:ind w:firstLine="720"/>
        <w:rPr>
          <w:rFonts w:ascii="Times New Roman" w:hAnsi="Times New Roman" w:cs="Times New Roman"/>
          <w:sz w:val="24"/>
          <w:szCs w:val="24"/>
        </w:rPr>
      </w:pPr>
      <w:r>
        <w:rPr>
          <w:rFonts w:ascii="Times New Roman" w:hAnsi="Times New Roman" w:cs="Times New Roman" w:eastAsiaTheme="minorEastAsia"/>
          <w:i/>
          <w:sz w:val="24"/>
          <w:szCs w:val="24"/>
          <w:lang w:eastAsia="zh-TW"/>
        </w:rPr>
        <w:pict>
          <v:shape id="_x0000_s1141" o:spid="_x0000_s1141" o:spt="202" type="#_x0000_t202" style="position:absolute;left:0pt;margin-left:43.75pt;margin-top:135.1pt;height:52.5pt;width:349.5pt;z-index:251687936;mso-width-relative:margin;mso-height-relative:margin;" coordsize="21600,21600">
            <v:path/>
            <v:fill focussize="0,0"/>
            <v:stroke joinstyle="miter"/>
            <v:imagedata o:title=""/>
            <o:lock v:ext="edit"/>
            <v:textbox>
              <w:txbxContent>
                <w:p>
                  <w:pPr>
                    <w:tabs>
                      <w:tab w:val="left" w:pos="90"/>
                      <w:tab w:val="left" w:pos="720"/>
                    </w:tabs>
                    <w:spacing w:line="240" w:lineRule="auto"/>
                    <w:ind w:firstLine="0"/>
                    <w:jc w:val="center"/>
                    <w:rPr>
                      <w:rFonts w:ascii="Times New Roman" w:hAnsi="Times New Roman" w:cs="Times New Roman" w:eastAsiaTheme="minorEastAsia"/>
                      <w:sz w:val="28"/>
                      <w:szCs w:val="28"/>
                    </w:rPr>
                  </w:pPr>
                  <w:r>
                    <w:rPr>
                      <w:rFonts w:ascii="Times New Roman" w:hAnsi="Times New Roman" w:cs="Times New Roman"/>
                      <w:sz w:val="28"/>
                      <w:szCs w:val="28"/>
                    </w:rPr>
                    <w:t xml:space="preserve">CAPBVA =  </w:t>
                  </w:r>
                  <m:oMath>
                    <m:f>
                      <m:fPr>
                        <m:ctrlPr>
                          <w:rPr>
                            <w:rFonts w:ascii="Cambria Math" w:hAnsi="Times New Roman" w:cs="Times New Roman"/>
                            <w:i/>
                            <w:sz w:val="28"/>
                            <w:szCs w:val="28"/>
                          </w:rPr>
                        </m:ctrlPr>
                      </m:fPr>
                      <m:num>
                        <m:r>
                          <m:rPr/>
                          <w:rPr>
                            <w:rFonts w:ascii="Cambria Math" w:hAnsi="Cambria Math" w:cs="Times New Roman"/>
                            <w:sz w:val="28"/>
                            <w:szCs w:val="28"/>
                          </w:rPr>
                          <m:t>Ni</m:t>
                        </m:r>
                        <m:r>
                          <m:rPr/>
                          <w:rPr>
                            <w:rFonts w:ascii="Cambria Math" w:hAnsi="Times New Roman" w:cs="Times New Roman"/>
                            <w:sz w:val="28"/>
                            <w:szCs w:val="28"/>
                          </w:rPr>
                          <m:t>.</m:t>
                        </m:r>
                        <m:r>
                          <m:rPr/>
                          <w:rPr>
                            <w:rFonts w:ascii="Cambria Math" w:hAnsi="Cambria Math" w:cs="Times New Roman"/>
                            <w:sz w:val="28"/>
                            <w:szCs w:val="28"/>
                          </w:rPr>
                          <m:t>bukuAktivatetapt</m:t>
                        </m:r>
                        <m:r>
                          <m:rPr/>
                          <w:rPr>
                            <w:rFonts w:ascii="Times New Roman" w:hAnsi="Times New Roman" w:cs="Times New Roman"/>
                            <w:sz w:val="28"/>
                            <w:szCs w:val="28"/>
                          </w:rPr>
                          <m:t>−</m:t>
                        </m:r>
                        <m:r>
                          <m:rPr/>
                          <w:rPr>
                            <w:rFonts w:ascii="Cambria Math" w:hAnsi="Cambria Math" w:cs="Times New Roman"/>
                            <w:sz w:val="28"/>
                            <w:szCs w:val="28"/>
                          </w:rPr>
                          <m:t>Ni</m:t>
                        </m:r>
                        <m:r>
                          <m:rPr/>
                          <w:rPr>
                            <w:rFonts w:ascii="Cambria Math" w:hAnsi="Times New Roman" w:cs="Times New Roman"/>
                            <w:sz w:val="28"/>
                            <w:szCs w:val="28"/>
                          </w:rPr>
                          <m:t>.</m:t>
                        </m:r>
                        <m:r>
                          <m:rPr/>
                          <w:rPr>
                            <w:rFonts w:ascii="Cambria Math" w:hAnsi="Cambria Math" w:cs="Times New Roman"/>
                            <w:sz w:val="28"/>
                            <w:szCs w:val="28"/>
                          </w:rPr>
                          <m:t>bukuAktivatetapt</m:t>
                        </m:r>
                        <m:r>
                          <m:rPr/>
                          <w:rPr>
                            <w:rFonts w:ascii="Times New Roman" w:hAnsi="Times New Roman" w:cs="Times New Roman"/>
                            <w:sz w:val="28"/>
                            <w:szCs w:val="28"/>
                          </w:rPr>
                          <m:t>−</m:t>
                        </m:r>
                        <m:r>
                          <m:rPr/>
                          <w:rPr>
                            <w:rFonts w:ascii="Cambria Math" w:hAnsi="Cambria Math" w:cs="Times New Roman"/>
                            <w:sz w:val="28"/>
                            <w:szCs w:val="28"/>
                          </w:rPr>
                          <m:t>i</m:t>
                        </m:r>
                        <m:ctrlPr>
                          <w:rPr>
                            <w:rFonts w:ascii="Cambria Math" w:hAnsi="Times New Roman" w:cs="Times New Roman"/>
                            <w:i/>
                            <w:sz w:val="28"/>
                            <w:szCs w:val="28"/>
                          </w:rPr>
                        </m:ctrlPr>
                      </m:num>
                      <m:den>
                        <m:r>
                          <m:rPr/>
                          <w:rPr>
                            <w:rFonts w:ascii="Cambria Math" w:hAnsi="Cambria Math" w:cs="Times New Roman"/>
                            <w:sz w:val="28"/>
                            <w:szCs w:val="28"/>
                          </w:rPr>
                          <m:t>totalaktiva</m:t>
                        </m:r>
                        <m:ctrlPr>
                          <w:rPr>
                            <w:rFonts w:ascii="Cambria Math" w:hAnsi="Times New Roman" w:cs="Times New Roman"/>
                            <w:i/>
                            <w:sz w:val="28"/>
                            <w:szCs w:val="28"/>
                          </w:rPr>
                        </m:ctrlPr>
                      </m:den>
                    </m:f>
                  </m:oMath>
                </w:p>
                <w:p>
                  <w:pPr>
                    <w:spacing w:line="240" w:lineRule="auto"/>
                  </w:pPr>
                </w:p>
              </w:txbxContent>
            </v:textbox>
          </v:shape>
        </w:pict>
      </w:r>
      <w:r>
        <w:rPr>
          <w:rFonts w:ascii="Times New Roman" w:hAnsi="Times New Roman" w:cs="Times New Roman"/>
          <w:sz w:val="24"/>
          <w:szCs w:val="24"/>
        </w:rPr>
        <w:t xml:space="preserve">(Purbaet dkk ,2017) mengatakan bahwa peneliti menggunakan </w:t>
      </w:r>
      <w:r>
        <w:rPr>
          <w:rFonts w:ascii="Times New Roman" w:hAnsi="Times New Roman" w:cs="Times New Roman"/>
          <w:i/>
          <w:sz w:val="24"/>
          <w:szCs w:val="24"/>
        </w:rPr>
        <w:t>Capital Expenditure to Book Value of Assets</w:t>
      </w:r>
      <w:r>
        <w:rPr>
          <w:rFonts w:ascii="Times New Roman" w:hAnsi="Times New Roman" w:cs="Times New Roman"/>
          <w:sz w:val="24"/>
          <w:szCs w:val="24"/>
        </w:rPr>
        <w:t xml:space="preserve"> untuk mencatat nilai buku aset, yang menunjukkan adanya arus tambahan ekuitas perusahaan yang dapat digunakan untuk penambahan investasi pada aset produktif. </w:t>
      </w:r>
      <w:r>
        <w:rPr>
          <w:rFonts w:ascii="Times New Roman" w:hAnsi="Times New Roman" w:cs="Times New Roman"/>
          <w:i/>
          <w:sz w:val="24"/>
          <w:szCs w:val="24"/>
        </w:rPr>
        <w:t>Capital Expenditure to Book Value of Assets</w:t>
      </w:r>
      <w:r>
        <w:rPr>
          <w:rFonts w:ascii="Times New Roman" w:hAnsi="Times New Roman" w:cs="Times New Roman"/>
          <w:sz w:val="24"/>
          <w:szCs w:val="24"/>
        </w:rPr>
        <w:t xml:space="preserve"> dapat dihitung dengan menggunakan rumus berikut:</w:t>
      </w:r>
    </w:p>
    <w:p>
      <w:pPr>
        <w:tabs>
          <w:tab w:val="left" w:pos="8550"/>
        </w:tabs>
        <w:ind w:firstLine="0"/>
        <w:rPr>
          <w:rFonts w:ascii="Times New Roman" w:hAnsi="Times New Roman" w:cs="Times New Roman" w:eastAsiaTheme="minorEastAsia"/>
          <w:i/>
          <w:sz w:val="24"/>
          <w:szCs w:val="24"/>
        </w:rPr>
      </w:pPr>
    </w:p>
    <w:p>
      <w:pPr>
        <w:tabs>
          <w:tab w:val="left" w:pos="8550"/>
        </w:tabs>
        <w:ind w:firstLine="0"/>
        <w:rPr>
          <w:rFonts w:ascii="Times New Roman" w:hAnsi="Times New Roman" w:cs="Times New Roman" w:eastAsiaTheme="minorEastAsia"/>
          <w:i/>
          <w:sz w:val="24"/>
          <w:szCs w:val="24"/>
        </w:rPr>
      </w:pPr>
    </w:p>
    <w:p>
      <w:pPr>
        <w:tabs>
          <w:tab w:val="left" w:pos="8550"/>
        </w:tabs>
        <w:ind w:firstLine="0"/>
        <w:jc w:val="center"/>
        <w:rPr>
          <w:rFonts w:ascii="Times New Roman" w:hAnsi="Times New Roman" w:cs="Times New Roman" w:eastAsiaTheme="minorEastAsia"/>
          <w:i/>
          <w:sz w:val="24"/>
          <w:szCs w:val="24"/>
        </w:rPr>
      </w:pPr>
      <w:r>
        <w:rPr>
          <w:rFonts w:ascii="Times New Roman" w:hAnsi="Times New Roman" w:cs="Times New Roman" w:eastAsiaTheme="minorEastAsia"/>
          <w:i/>
          <w:sz w:val="24"/>
          <w:szCs w:val="24"/>
        </w:rPr>
        <w:t>Sumber : (Putri &amp; Setiawan, 2019)</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Keterangan : </w:t>
      </w:r>
    </w:p>
    <w:p>
      <w:pPr>
        <w:tabs>
          <w:tab w:val="left" w:pos="3261"/>
          <w:tab w:val="left" w:pos="8550"/>
        </w:tabs>
        <w:rPr>
          <w:rFonts w:ascii="Times New Roman" w:hAnsi="Times New Roman" w:cs="Times New Roman"/>
          <w:sz w:val="24"/>
          <w:szCs w:val="24"/>
        </w:rPr>
      </w:pPr>
      <w:r>
        <w:rPr>
          <w:rFonts w:ascii="Times New Roman" w:hAnsi="Times New Roman" w:cs="Times New Roman"/>
          <w:sz w:val="24"/>
          <w:szCs w:val="24"/>
        </w:rPr>
        <w:t>CAPBVA</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Capital Expenditure to Book Value of Assets</w:t>
      </w:r>
    </w:p>
    <w:p>
      <w:pPr>
        <w:tabs>
          <w:tab w:val="left" w:pos="3119"/>
          <w:tab w:val="left" w:pos="3261"/>
          <w:tab w:val="left" w:pos="3402"/>
          <w:tab w:val="left" w:pos="3544"/>
          <w:tab w:val="left" w:pos="3686"/>
          <w:tab w:val="left" w:pos="8550"/>
        </w:tabs>
        <w:ind w:left="3402" w:hanging="3042"/>
        <w:rPr>
          <w:rFonts w:ascii="Times New Roman" w:hAnsi="Times New Roman" w:cs="Times New Roman"/>
          <w:sz w:val="24"/>
          <w:szCs w:val="24"/>
        </w:rPr>
      </w:pPr>
      <w:r>
        <w:rPr>
          <w:rFonts w:ascii="Times New Roman" w:hAnsi="Times New Roman" w:cs="Times New Roman"/>
          <w:sz w:val="24"/>
          <w:szCs w:val="24"/>
        </w:rPr>
        <w:t>Nilai Buku aktiva tetap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Nilai awal pembelian asset–jumlah akumulasi penyusutan aset dari harga pembelian awal</w:t>
      </w:r>
    </w:p>
    <w:p>
      <w:pPr>
        <w:tabs>
          <w:tab w:val="left" w:pos="8550"/>
        </w:tabs>
        <w:rPr>
          <w:rFonts w:ascii="Times New Roman" w:hAnsi="Times New Roman" w:cs="Times New Roman"/>
          <w:sz w:val="24"/>
          <w:szCs w:val="24"/>
        </w:rPr>
      </w:pPr>
      <w:r>
        <w:rPr>
          <w:rFonts w:ascii="Times New Roman" w:hAnsi="Times New Roman" w:cs="Times New Roman"/>
          <w:sz w:val="24"/>
          <w:szCs w:val="24"/>
        </w:rPr>
        <w:t xml:space="preserve">    t                                          : Tahun </w:t>
      </w:r>
    </w:p>
    <w:p>
      <w:pPr>
        <w:tabs>
          <w:tab w:val="left" w:pos="8550"/>
        </w:tabs>
        <w:rPr>
          <w:rFonts w:ascii="Times New Roman" w:hAnsi="Times New Roman" w:cs="Times New Roman"/>
          <w:sz w:val="24"/>
          <w:szCs w:val="24"/>
        </w:rPr>
      </w:pPr>
      <w:r>
        <w:rPr>
          <w:rFonts w:ascii="Times New Roman" w:hAnsi="Times New Roman" w:cs="Times New Roman"/>
          <w:sz w:val="24"/>
          <w:szCs w:val="24"/>
        </w:rPr>
        <w:t xml:space="preserve">   t-i                                         : Tahun Sebelumnya</w:t>
      </w:r>
    </w:p>
    <w:p>
      <w:pPr>
        <w:tabs>
          <w:tab w:val="left" w:pos="8550"/>
        </w:tabs>
        <w:ind w:firstLine="540"/>
        <w:rPr>
          <w:rFonts w:ascii="Times New Roman" w:hAnsi="Times New Roman" w:cs="Times New Roman"/>
          <w:sz w:val="24"/>
          <w:szCs w:val="24"/>
        </w:rPr>
      </w:pPr>
      <w:r>
        <w:rPr>
          <w:rFonts w:ascii="Times New Roman" w:hAnsi="Times New Roman" w:cs="Times New Roman"/>
          <w:sz w:val="24"/>
          <w:szCs w:val="24"/>
        </w:rPr>
        <w:t>TA                                       :  Total Aktiva (Total kekayaaan perusahaan )</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Rasio standar menunjukkan bahwa semakin besar peningkatan modal perusahaan maka semakin tinggi tingkat investasi perusahaan.</w:t>
      </w:r>
    </w:p>
    <w:p>
      <w:pPr>
        <w:tabs>
          <w:tab w:val="left" w:pos="3261"/>
          <w:tab w:val="left" w:pos="8550"/>
        </w:tabs>
        <w:ind w:firstLine="720"/>
        <w:rPr>
          <w:rStyle w:val="31"/>
          <w:rFonts w:ascii="Arial" w:hAnsi="Arial" w:cs="Arial"/>
          <w:sz w:val="29"/>
          <w:szCs w:val="29"/>
        </w:rPr>
      </w:pPr>
      <w:r>
        <w:rPr>
          <w:rFonts w:ascii="Times New Roman" w:hAnsi="Times New Roman" w:cs="Times New Roman"/>
          <w:i/>
          <w:sz w:val="24"/>
          <w:szCs w:val="24"/>
        </w:rPr>
        <w:t>Invesment opportunity set</w:t>
      </w:r>
      <w:r>
        <w:rPr>
          <w:rFonts w:ascii="Times New Roman" w:hAnsi="Times New Roman" w:cs="Times New Roman"/>
          <w:sz w:val="24"/>
          <w:szCs w:val="24"/>
        </w:rPr>
        <w:t xml:space="preserve"> dalam penelitian ini diukur </w:t>
      </w:r>
      <w:r>
        <w:rPr>
          <w:rFonts w:ascii="Times New Roman" w:hAnsi="Times New Roman" w:cs="Times New Roman"/>
          <w:i/>
          <w:sz w:val="24"/>
          <w:szCs w:val="24"/>
        </w:rPr>
        <w:t>Market to Book Value Equity</w:t>
      </w:r>
      <w:r>
        <w:rPr>
          <w:rStyle w:val="31"/>
          <w:rFonts w:ascii="Times New Roman" w:hAnsi="Times New Roman" w:cs="Times New Roman"/>
          <w:sz w:val="24"/>
          <w:szCs w:val="24"/>
        </w:rPr>
        <w:t xml:space="preserve">, pengukuran </w:t>
      </w:r>
      <w:r>
        <w:rPr>
          <w:rFonts w:ascii="Times New Roman" w:hAnsi="Times New Roman" w:cs="Times New Roman"/>
          <w:i/>
          <w:sz w:val="24"/>
          <w:szCs w:val="24"/>
        </w:rPr>
        <w:t>Market to Book Value Equity</w:t>
      </w:r>
      <w:r>
        <w:rPr>
          <w:rStyle w:val="31"/>
          <w:rFonts w:ascii="Times New Roman" w:hAnsi="Times New Roman" w:cs="Times New Roman"/>
          <w:sz w:val="24"/>
          <w:szCs w:val="24"/>
        </w:rPr>
        <w:t xml:space="preserve"> memiliki pengaruh yang besar terhadap nilai perusahaan. Oleh karena itu peneliti mengambil </w:t>
      </w:r>
      <w:r>
        <w:rPr>
          <w:rStyle w:val="31"/>
          <w:rFonts w:ascii="Times New Roman" w:hAnsi="Times New Roman" w:cs="Times New Roman"/>
          <w:i/>
          <w:sz w:val="24"/>
          <w:szCs w:val="24"/>
        </w:rPr>
        <w:t>market to book value of equity</w:t>
      </w:r>
      <w:r>
        <w:rPr>
          <w:rStyle w:val="31"/>
          <w:rFonts w:ascii="Times New Roman" w:hAnsi="Times New Roman" w:cs="Times New Roman"/>
          <w:sz w:val="24"/>
          <w:szCs w:val="24"/>
        </w:rPr>
        <w:t xml:space="preserve"> digunakan sebagai proksi dari </w:t>
      </w:r>
      <w:r>
        <w:rPr>
          <w:rStyle w:val="31"/>
          <w:rFonts w:ascii="Times New Roman" w:hAnsi="Times New Roman" w:cs="Times New Roman"/>
          <w:i/>
          <w:sz w:val="24"/>
          <w:szCs w:val="24"/>
        </w:rPr>
        <w:t>investment opportunity set</w:t>
      </w:r>
      <w:r>
        <w:rPr>
          <w:rStyle w:val="31"/>
          <w:rFonts w:ascii="Times New Roman" w:hAnsi="Times New Roman" w:cs="Times New Roman"/>
          <w:sz w:val="24"/>
          <w:szCs w:val="24"/>
        </w:rPr>
        <w:t>. Penggunaan rasio ini didasari atas pemikiran MBVE yang mencerminkan pasar menilai return investasi dimasa depan akan lebih besar dari return yang diharapkan dari ekuitasnya</w:t>
      </w:r>
      <w:r>
        <w:rPr>
          <w:rStyle w:val="31"/>
          <w:rFonts w:ascii="Arial" w:hAnsi="Arial" w:cs="Arial"/>
          <w:sz w:val="29"/>
          <w:szCs w:val="29"/>
        </w:rPr>
        <w:t>.</w:t>
      </w:r>
    </w:p>
    <w:p>
      <w:pPr>
        <w:tabs>
          <w:tab w:val="left" w:pos="3261"/>
          <w:tab w:val="left" w:pos="8550"/>
        </w:tabs>
        <w:ind w:firstLine="720"/>
        <w:rPr>
          <w:rFonts w:ascii="Times New Roman" w:hAnsi="Times New Roman" w:cs="Times New Roman"/>
          <w:sz w:val="24"/>
          <w:szCs w:val="24"/>
        </w:rPr>
      </w:pPr>
      <w:r>
        <w:rPr>
          <w:rFonts w:ascii="Times New Roman" w:hAnsi="Times New Roman" w:cs="Times New Roman"/>
          <w:i/>
          <w:sz w:val="24"/>
          <w:szCs w:val="24"/>
        </w:rPr>
        <w:t>Invesment opportunity set</w:t>
      </w:r>
      <w:r>
        <w:rPr>
          <w:rFonts w:ascii="Times New Roman" w:hAnsi="Times New Roman" w:cs="Times New Roman"/>
          <w:sz w:val="24"/>
          <w:szCs w:val="24"/>
        </w:rPr>
        <w:t xml:space="preserve"> dalam penelitian ini diukur </w:t>
      </w:r>
      <w:r>
        <w:rPr>
          <w:rFonts w:ascii="Times New Roman" w:hAnsi="Times New Roman" w:cs="Times New Roman"/>
          <w:i/>
          <w:sz w:val="24"/>
          <w:szCs w:val="24"/>
        </w:rPr>
        <w:t>Capital Expenditure to Book Value of Assets</w:t>
      </w:r>
      <w:r>
        <w:rPr>
          <w:rStyle w:val="31"/>
          <w:rFonts w:ascii="Times New Roman" w:hAnsi="Times New Roman" w:cs="Times New Roman"/>
          <w:sz w:val="24"/>
          <w:szCs w:val="24"/>
        </w:rPr>
        <w:t xml:space="preserve">, pengukuran </w:t>
      </w:r>
      <w:r>
        <w:rPr>
          <w:rFonts w:ascii="Times New Roman" w:hAnsi="Times New Roman" w:cs="Times New Roman"/>
          <w:i/>
          <w:sz w:val="24"/>
          <w:szCs w:val="24"/>
        </w:rPr>
        <w:t>Capital Expenditure to Book Value of Assets</w:t>
      </w:r>
      <w:r>
        <w:rPr>
          <w:rStyle w:val="31"/>
          <w:rFonts w:ascii="Times New Roman" w:hAnsi="Times New Roman" w:cs="Times New Roman"/>
          <w:sz w:val="24"/>
          <w:szCs w:val="24"/>
        </w:rPr>
        <w:t xml:space="preserve"> memiliki pengaruh yang besar terhadap nilai perusahaan. Oleh karena itu peneliti mengambil </w:t>
      </w:r>
      <w:r>
        <w:rPr>
          <w:rFonts w:ascii="Times New Roman" w:hAnsi="Times New Roman" w:cs="Times New Roman"/>
          <w:i/>
          <w:sz w:val="24"/>
          <w:szCs w:val="24"/>
        </w:rPr>
        <w:t xml:space="preserve">Capital Expenditure to Book Value of Assets </w:t>
      </w:r>
      <w:r>
        <w:rPr>
          <w:rFonts w:ascii="Times New Roman" w:hAnsi="Times New Roman" w:cs="Times New Roman"/>
          <w:sz w:val="24"/>
          <w:szCs w:val="24"/>
        </w:rPr>
        <w:t xml:space="preserve">karena </w:t>
      </w:r>
      <w:r>
        <w:rPr>
          <w:rFonts w:ascii="Times New Roman" w:hAnsi="Times New Roman" w:cs="Times New Roman"/>
          <w:i/>
          <w:sz w:val="24"/>
          <w:szCs w:val="24"/>
        </w:rPr>
        <w:t>Capital Expenditure to Book Value of Assets</w:t>
      </w:r>
      <w:r>
        <w:rPr>
          <w:rFonts w:ascii="Times New Roman" w:hAnsi="Times New Roman" w:cs="Times New Roman"/>
          <w:sz w:val="24"/>
          <w:szCs w:val="24"/>
        </w:rPr>
        <w:t xml:space="preserve"> banyak digunakan dalam </w:t>
      </w:r>
      <w:r>
        <w:rPr>
          <w:rStyle w:val="31"/>
          <w:rFonts w:ascii="Times New Roman" w:hAnsi="Times New Roman" w:cs="Times New Roman"/>
          <w:sz w:val="24"/>
          <w:szCs w:val="24"/>
        </w:rPr>
        <w:t xml:space="preserve">kegiatan investasi yang besar sehingga berkaitan secara positif dengan nilai IOS suatu perusahaan, dimana perusahaan yang memiliki suatu IOS yang tinggi seharusnya juga memiliki suatu tingkatan investasi yang tinggi pula dalam bentuk aktiva yang ditempatkan atau yang diinvestasikan untuk waktu yang lama. Bentuk proksi ini adalah rasio yang membandingkan suatu pengukuran investasi yang telah diinvestasikan dalam bentuk aktiva tetap atau suatu hasil operasi yang diproduksi dari aktiva yang telah diinvestasikan. Jika, </w:t>
      </w:r>
      <w:r>
        <w:rPr>
          <w:rFonts w:ascii="Times New Roman" w:hAnsi="Times New Roman" w:cs="Times New Roman"/>
          <w:i/>
          <w:sz w:val="24"/>
          <w:szCs w:val="24"/>
        </w:rPr>
        <w:t>Capital Expenditure to Book Value of Assets</w:t>
      </w:r>
      <w:r>
        <w:rPr>
          <w:rStyle w:val="31"/>
          <w:rFonts w:ascii="Times New Roman" w:hAnsi="Times New Roman" w:cs="Times New Roman"/>
          <w:sz w:val="24"/>
          <w:szCs w:val="24"/>
        </w:rPr>
        <w:t xml:space="preserve"> tidak memiliki pengaruh terhadap nilai perusahaan, maka penelitian ini menunjukkan </w:t>
      </w:r>
      <w:r>
        <w:rPr>
          <w:rFonts w:ascii="Times New Roman" w:hAnsi="Times New Roman" w:cs="Times New Roman"/>
          <w:sz w:val="24"/>
          <w:szCs w:val="24"/>
        </w:rPr>
        <w:t xml:space="preserve">bahwa kesempatan memperoleh </w:t>
      </w:r>
      <w:r>
        <w:rPr>
          <w:rFonts w:ascii="Times New Roman" w:hAnsi="Times New Roman" w:cs="Times New Roman"/>
          <w:i/>
          <w:sz w:val="24"/>
          <w:szCs w:val="24"/>
        </w:rPr>
        <w:t xml:space="preserve">return </w:t>
      </w:r>
      <w:r>
        <w:rPr>
          <w:rFonts w:ascii="Times New Roman" w:hAnsi="Times New Roman" w:cs="Times New Roman"/>
          <w:sz w:val="24"/>
          <w:szCs w:val="24"/>
        </w:rPr>
        <w:t xml:space="preserve">tidak berkorelasi dengan besarnya aliran tambahan modal saham perusahaan. Bagi perusahaan seharusnya dapat memanfaatkan tambahan modal saham sebagai tambahan aktiva produktifnya, sehingga para investor akan lebih tertarik untuk berinvestasi pada perusahaan tersebut. Bagi para investor apabila nilai IOS rendah sebaiknya tidak disertai dengan nilai investasi yang tidak  menguntungkan. </w:t>
      </w:r>
    </w:p>
    <w:p>
      <w:pPr>
        <w:pStyle w:val="23"/>
        <w:numPr>
          <w:ilvl w:val="2"/>
          <w:numId w:val="7"/>
        </w:numPr>
        <w:rPr>
          <w:rFonts w:ascii="Times New Roman" w:hAnsi="Times New Roman" w:cs="Times New Roman"/>
          <w:sz w:val="24"/>
          <w:szCs w:val="24"/>
        </w:rPr>
      </w:pPr>
      <w:r>
        <w:rPr>
          <w:rFonts w:ascii="Times New Roman" w:hAnsi="Times New Roman" w:cs="Times New Roman"/>
          <w:b/>
          <w:i/>
          <w:sz w:val="24"/>
          <w:szCs w:val="24"/>
        </w:rPr>
        <w:t>Corporate Social Responsibility</w:t>
      </w:r>
    </w:p>
    <w:p>
      <w:pPr>
        <w:pStyle w:val="23"/>
        <w:numPr>
          <w:ilvl w:val="3"/>
          <w:numId w:val="7"/>
        </w:numPr>
        <w:tabs>
          <w:tab w:val="left" w:pos="8550"/>
        </w:tabs>
        <w:rPr>
          <w:rFonts w:ascii="Times New Roman" w:hAnsi="Times New Roman" w:cs="Times New Roman"/>
          <w:b/>
          <w:i/>
          <w:sz w:val="24"/>
          <w:szCs w:val="24"/>
        </w:rPr>
      </w:pPr>
      <w:r>
        <w:rPr>
          <w:rFonts w:ascii="Times New Roman" w:hAnsi="Times New Roman" w:cs="Times New Roman"/>
          <w:b/>
          <w:sz w:val="24"/>
          <w:szCs w:val="24"/>
        </w:rPr>
        <w:t xml:space="preserve">Pengertian </w:t>
      </w:r>
      <w:r>
        <w:rPr>
          <w:rFonts w:ascii="Times New Roman" w:hAnsi="Times New Roman" w:cs="Times New Roman"/>
          <w:b/>
          <w:i/>
          <w:sz w:val="24"/>
          <w:szCs w:val="24"/>
        </w:rPr>
        <w:t>Corporate Social Responsibility</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Pemerintah mewajibkan perusahaan untuk melaksanakan tanggung jawab sosial perusahaan sesuai dengan Undang-Undang Perseroan Terbatas (UUPT) Nomor 40 Tahun 2007. Salah satu kegiatannya adalah pelaksanaan tanggung jawab sosial perusahaan (CSR) Tanggung jawab sosial perusahaan merupakan tanggung jawab sosial perusahaan terhadap lingkungan masyarakat. Dengan melaksanakan kegiatan sosial yang bermanfaat bagi masyarakat sekitar atau perusahaan sekitarnya maka secara luas direncanakan perusahaan sosial perusahaan sebagai pengurus. tanggung jawab untuk melindungi dan mengembangkan kesejahteraan masyarakat sekaligus membawa manfaat bagi perusahaan. Oleh karena itu, kegiatan tanggung jawab sosial perusahaan pada dasarnya merupakan bentuk tanggung jawab perusahaan kepada masyarakat, sekaligus sebagai sarana untuk membangun reputasi dan meningkatkan kinerja perusahaan yang unggul dalam persaingan.</w:t>
      </w:r>
    </w:p>
    <w:p>
      <w:pPr>
        <w:tabs>
          <w:tab w:val="left" w:pos="8550"/>
        </w:tabs>
        <w:ind w:firstLine="720"/>
        <w:rPr>
          <w:rFonts w:ascii="Times New Roman" w:hAnsi="Times New Roman" w:cs="Times New Roman"/>
          <w:sz w:val="24"/>
          <w:szCs w:val="24"/>
        </w:rPr>
      </w:pPr>
      <w:r>
        <w:rPr>
          <w:rFonts w:ascii="Times New Roman" w:hAnsi="Times New Roman" w:cs="Times New Roman"/>
          <w:i/>
          <w:sz w:val="24"/>
          <w:szCs w:val="24"/>
        </w:rPr>
        <w:t xml:space="preserve">Corporate Social Responsibility </w:t>
      </w:r>
      <w:r>
        <w:rPr>
          <w:rFonts w:ascii="Times New Roman" w:hAnsi="Times New Roman" w:cs="Times New Roman"/>
          <w:sz w:val="24"/>
          <w:szCs w:val="24"/>
        </w:rPr>
        <w:t>bersifat sukarela/komitmen yang dilakukan perusahaan di dalam pertanggungjawaban kegiatan perusahaannya, melainkan bersifat wajib bagi beberapa perusahaan untuk menjadi kewajiban bagi beberapa perusahaan untuk melakukan atau menerapkannya. Hal ini dalam Undang-Undang  Nomor 40 tahun 2007 tentang Perseroan Terbatas (UU PT), yang disahkan pada 20 juli 2007. Pasal 74 Undang-Undang Persean Terbatas menyatakan :</w:t>
      </w:r>
    </w:p>
    <w:p>
      <w:pPr>
        <w:tabs>
          <w:tab w:val="left" w:pos="8550"/>
        </w:tabs>
        <w:ind w:left="720" w:firstLine="0"/>
        <w:rPr>
          <w:rFonts w:ascii="Times New Roman" w:hAnsi="Times New Roman" w:cs="Times New Roman"/>
          <w:sz w:val="24"/>
          <w:szCs w:val="24"/>
        </w:rPr>
      </w:pPr>
      <w:r>
        <w:rPr>
          <w:rFonts w:ascii="Times New Roman" w:hAnsi="Times New Roman" w:cs="Times New Roman"/>
          <w:sz w:val="24"/>
          <w:szCs w:val="24"/>
        </w:rPr>
        <w:t>1. Perseroan yang menjalankan kegiatan usahannya di bidang atau yang berkaitan dengan sumber alam wajib melaksanakan tanggung jawab social dan lingkungan  (TJSL)</w:t>
      </w:r>
    </w:p>
    <w:p>
      <w:pPr>
        <w:tabs>
          <w:tab w:val="left" w:pos="8550"/>
        </w:tabs>
        <w:ind w:left="720" w:firstLine="0"/>
        <w:rPr>
          <w:rFonts w:ascii="Times New Roman" w:hAnsi="Times New Roman" w:cs="Times New Roman"/>
          <w:sz w:val="24"/>
          <w:szCs w:val="24"/>
        </w:rPr>
      </w:pPr>
      <w:r>
        <w:rPr>
          <w:rFonts w:ascii="Times New Roman" w:hAnsi="Times New Roman" w:cs="Times New Roman"/>
          <w:sz w:val="24"/>
          <w:szCs w:val="24"/>
        </w:rPr>
        <w:t>2. (TJSL) Merupakan kewajiban perseroan yang dianggarkan dan di perhitungkan sebagai biaya perseroan yang pelaksanaannya dilakukan dengan memperhatikan kepatuhan dan kewajaran.</w:t>
      </w:r>
    </w:p>
    <w:p>
      <w:pPr>
        <w:tabs>
          <w:tab w:val="left" w:pos="8550"/>
        </w:tabs>
        <w:ind w:left="720" w:firstLine="0"/>
        <w:rPr>
          <w:rFonts w:ascii="Times New Roman" w:hAnsi="Times New Roman" w:cs="Times New Roman"/>
          <w:sz w:val="24"/>
          <w:szCs w:val="24"/>
        </w:rPr>
      </w:pPr>
      <w:r>
        <w:rPr>
          <w:rFonts w:ascii="Times New Roman" w:hAnsi="Times New Roman" w:cs="Times New Roman"/>
          <w:sz w:val="24"/>
          <w:szCs w:val="24"/>
        </w:rPr>
        <w:t xml:space="preserve">3. Persoran yang tidak melaksanakan kewajiban dikenai sanksi sesuai dengan ketentuan peraturan perundang-undangan.  </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Dengan adanya ini, perusahaan khususnya perseoran terbatas yang di bidang atau kaitan dengan sumber daya alam harus melaksanakan tanggung jawab sosialnya kepada masyarakat. Sanksi pidana mengenai pelanggaran CSR terdapat di dalam Undang-Undang Nomor 23 Tahun 1997 tentang Pengelolaan Lingkungan Hidup (UUPLH) Pasal 42 ayat (1) Yang menyatakan “Barang siapa yang melawan hokum dengan sengaja melakukan perbuatan yang mengakibatkan pencemaran dan perusakan lingkungan hidup, di ancam dengan pidana penjara paling lama sepuluh tahun dan denda paling banyak lima ratus juta rupiah” . Selanjutnya, pasal 42 ayat (1) menyatakan “ Barang siapa yang karena kelalaiannya melakukan perbuatan yang mengakibatkan pencemaran atau perusakan terhadap lingkungan hidup, diancam dengan pidana penjara paling lama tiga tahun dan denda paling banyak seratus juta rupiah”.</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Menurut (Iskandar, 2016) </w:t>
      </w:r>
      <w:r>
        <w:rPr>
          <w:rFonts w:ascii="Times New Roman" w:hAnsi="Times New Roman" w:cs="Times New Roman"/>
          <w:i/>
          <w:sz w:val="24"/>
          <w:szCs w:val="24"/>
        </w:rPr>
        <w:t>Corporate Social Responsibility</w:t>
      </w:r>
      <w:r>
        <w:rPr>
          <w:rFonts w:ascii="Times New Roman" w:hAnsi="Times New Roman" w:cs="Times New Roman"/>
          <w:sz w:val="24"/>
          <w:szCs w:val="24"/>
        </w:rPr>
        <w:t xml:space="preserve"> (CSR)  atau Tanggung jawab sosial perusahaan merupakan komitmen perusahaan dan dunia usaha untuk berkontribusi dalam pembangunan ekonomi, memperhatikan tanggung jawab sosial perusahaan dan menekankan keseimbangan antara kepedulian ekonomi, sosial dan lingkungan. CSR adalah suatu konsep yang mendorong organisasi untuk mempertimbangkan kepentingan sosial dengan mengambil tanggung jawab atas dampak kegiatan organisasi terhadap konsumen, karyawan, pemegang saham, masyarakat dan lingkungan di semua aspek operasi.</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Berdasarkan beberapa definisi di atas dapat disimpulkan bahwa </w:t>
      </w:r>
      <w:r>
        <w:rPr>
          <w:rFonts w:ascii="Times New Roman" w:hAnsi="Times New Roman" w:cs="Times New Roman"/>
          <w:i/>
          <w:sz w:val="24"/>
          <w:szCs w:val="24"/>
        </w:rPr>
        <w:t>Corporate Social Responsibility</w:t>
      </w:r>
      <w:r>
        <w:rPr>
          <w:rFonts w:ascii="Times New Roman" w:hAnsi="Times New Roman" w:cs="Times New Roman"/>
          <w:sz w:val="24"/>
          <w:szCs w:val="24"/>
        </w:rPr>
        <w:t xml:space="preserve"> (CSR) adalah kegiatan perusahaan yang peduli terhadap lingkungan dan masyarakat sekitar perusahaan, serta mematuhi standar etika dan perilaku yang bertanggung jawab dalam pengambilan keputusan </w:t>
      </w:r>
      <w:sdt>
        <w:sdtPr>
          <w:rPr>
            <w:rFonts w:ascii="Times New Roman" w:hAnsi="Times New Roman" w:cs="Times New Roman"/>
            <w:sz w:val="24"/>
            <w:szCs w:val="24"/>
          </w:rPr>
          <w:id w:val="702638730"/>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Isk16 \l 1033 </w:instrText>
          </w:r>
          <w:r>
            <w:rPr>
              <w:rFonts w:ascii="Times New Roman" w:hAnsi="Times New Roman" w:cs="Times New Roman"/>
              <w:sz w:val="24"/>
              <w:szCs w:val="24"/>
            </w:rPr>
            <w:fldChar w:fldCharType="separate"/>
          </w:r>
          <w:r>
            <w:rPr>
              <w:rFonts w:ascii="Times New Roman" w:hAnsi="Times New Roman" w:cs="Times New Roman"/>
              <w:sz w:val="24"/>
              <w:szCs w:val="24"/>
            </w:rPr>
            <w:t>(Iskandar, 2016)</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pPr>
        <w:tabs>
          <w:tab w:val="left" w:pos="8550"/>
        </w:tabs>
        <w:ind w:firstLine="0"/>
        <w:rPr>
          <w:rFonts w:ascii="Times New Roman" w:hAnsi="Times New Roman" w:cs="Times New Roman"/>
          <w:b/>
          <w:i/>
          <w:sz w:val="24"/>
          <w:szCs w:val="24"/>
        </w:rPr>
      </w:pPr>
      <w:r>
        <w:rPr>
          <w:rFonts w:ascii="Times New Roman" w:hAnsi="Times New Roman" w:cs="Times New Roman" w:eastAsiaTheme="minorEastAsia"/>
          <w:b/>
          <w:sz w:val="24"/>
          <w:szCs w:val="24"/>
        </w:rPr>
        <w:t>2.1.2.2</w:t>
      </w:r>
      <w:r>
        <w:rPr>
          <w:rFonts w:ascii="Times New Roman" w:hAnsi="Times New Roman" w:cs="Times New Roman"/>
          <w:b/>
          <w:sz w:val="24"/>
          <w:szCs w:val="24"/>
        </w:rPr>
        <w:t xml:space="preserve">Pengukuran </w:t>
      </w:r>
      <w:r>
        <w:rPr>
          <w:rFonts w:ascii="Times New Roman" w:hAnsi="Times New Roman" w:cs="Times New Roman"/>
          <w:b/>
          <w:i/>
          <w:sz w:val="24"/>
          <w:szCs w:val="24"/>
        </w:rPr>
        <w:t>Corporate Social Responsibility</w:t>
      </w:r>
    </w:p>
    <w:p>
      <w:pPr>
        <w:tabs>
          <w:tab w:val="left" w:pos="8550"/>
        </w:tabs>
        <w:ind w:firstLine="810"/>
        <w:rPr>
          <w:rFonts w:ascii="Times New Roman" w:hAnsi="Times New Roman" w:cs="Times New Roman"/>
          <w:b/>
          <w:sz w:val="24"/>
          <w:szCs w:val="24"/>
        </w:rPr>
      </w:pPr>
      <w:r>
        <w:rPr>
          <w:rFonts w:ascii="Times New Roman" w:hAnsi="Times New Roman" w:cs="Times New Roman"/>
          <w:i/>
          <w:sz w:val="24"/>
          <w:szCs w:val="24"/>
        </w:rPr>
        <w:t xml:space="preserve">Corporate Social Responsibilitydapat di ukur dengan CSRI Disclosure Index (CSRI). </w:t>
      </w:r>
      <w:r>
        <w:rPr>
          <w:rFonts w:ascii="Times New Roman" w:hAnsi="Times New Roman" w:cs="Times New Roman"/>
          <w:sz w:val="24"/>
          <w:szCs w:val="24"/>
        </w:rPr>
        <w:t xml:space="preserve">Untuk menentukan tingkat pengungkapan informasi sosial dalam laporan tahunan digunakan dikotomi, dimana setiap item CSR (jika diungkapkan) pada alat penelitian memiliki nilai 1, dan jika tidak diungkapkan nilainya adalah 0 . Untuk mendapatkan nilai perusahaan secara keseluruhan dapat diperoleh dengan menjumlahkan semua nilai dari setiap item yang diperoleh. </w:t>
      </w:r>
      <w:sdt>
        <w:sdtPr>
          <w:rPr>
            <w:rFonts w:ascii="Times New Roman" w:hAnsi="Times New Roman" w:cs="Times New Roman"/>
            <w:sz w:val="24"/>
            <w:szCs w:val="24"/>
          </w:rPr>
          <w:id w:val="1033826671"/>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Kho19 \l 1033 </w:instrText>
          </w:r>
          <w:r>
            <w:rPr>
              <w:rFonts w:ascii="Times New Roman" w:hAnsi="Times New Roman" w:cs="Times New Roman"/>
              <w:sz w:val="24"/>
              <w:szCs w:val="24"/>
            </w:rPr>
            <w:fldChar w:fldCharType="separate"/>
          </w:r>
          <w:r>
            <w:rPr>
              <w:rFonts w:ascii="Times New Roman" w:hAnsi="Times New Roman" w:cs="Times New Roman"/>
              <w:sz w:val="24"/>
              <w:szCs w:val="24"/>
            </w:rPr>
            <w:t>(Kholida &amp; Susilo, 2019)</w:t>
          </w:r>
          <w:r>
            <w:rPr>
              <w:rFonts w:ascii="Times New Roman" w:hAnsi="Times New Roman" w:cs="Times New Roman"/>
              <w:sz w:val="24"/>
              <w:szCs w:val="24"/>
            </w:rPr>
            <w:fldChar w:fldCharType="end"/>
          </w:r>
        </w:sdtContent>
      </w:sdt>
    </w:p>
    <w:p>
      <w:pPr>
        <w:tabs>
          <w:tab w:val="left" w:pos="720"/>
        </w:tabs>
        <w:ind w:firstLine="0"/>
        <w:jc w:val="center"/>
        <w:rPr>
          <w:rFonts w:ascii="Times New Roman" w:hAnsi="Times New Roman" w:cs="Times New Roman"/>
          <w:sz w:val="24"/>
          <w:szCs w:val="24"/>
        </w:rPr>
      </w:pPr>
      <w:r>
        <w:rPr>
          <w:rFonts w:ascii="Times New Roman" w:hAnsi="Times New Roman" w:cs="Times New Roman"/>
          <w:sz w:val="24"/>
          <w:szCs w:val="24"/>
          <w:lang w:eastAsia="zh-TW"/>
        </w:rPr>
        <w:pict>
          <v:shape id="_x0000_s1142" o:spid="_x0000_s1142" o:spt="202" type="#_x0000_t202" style="position:absolute;left:0pt;margin-top:19.2pt;height:53.6pt;width:140.45pt;mso-position-horizontal:center;z-index:251688960;mso-width-relative:margin;mso-height-relative:margin;" coordsize="21600,21600">
            <v:path/>
            <v:fill focussize="0,0"/>
            <v:stroke joinstyle="miter"/>
            <v:imagedata o:title=""/>
            <o:lock v:ext="edit"/>
            <v:textbox>
              <w:txbxContent>
                <w:p>
                  <w:pPr>
                    <w:tabs>
                      <w:tab w:val="left" w:pos="720"/>
                    </w:tabs>
                    <w:ind w:firstLine="0"/>
                    <w:jc w:val="center"/>
                    <w:rPr>
                      <w:rFonts w:ascii="Times New Roman" w:hAnsi="Times New Roman" w:cs="Times New Roman" w:eastAsiaTheme="minorEastAsia"/>
                      <w:sz w:val="24"/>
                      <w:szCs w:val="24"/>
                    </w:rPr>
                  </w:pPr>
                  <w:r>
                    <w:rPr>
                      <w:rFonts w:ascii="Times New Roman" w:hAnsi="Times New Roman" w:cs="Times New Roman"/>
                      <w:sz w:val="28"/>
                      <w:szCs w:val="28"/>
                    </w:rPr>
                    <w:t xml:space="preserve">CSRIj </w:t>
                  </w:r>
                  <w:r>
                    <w:rPr>
                      <w:rFonts w:ascii="Times New Roman" w:hAnsi="Times New Roman" w:cs="Times New Roman"/>
                      <w:sz w:val="24"/>
                      <w:szCs w:val="24"/>
                    </w:rPr>
                    <w:t xml:space="preserve">= </w:t>
                  </w:r>
                  <m:oMath>
                    <m:f>
                      <m:fPr>
                        <m:ctrlPr>
                          <w:rPr>
                            <w:rFonts w:ascii="Cambria Math" w:hAnsi="Times New Roman" w:cs="Times New Roman"/>
                            <w:i/>
                            <w:sz w:val="40"/>
                            <w:szCs w:val="40"/>
                          </w:rPr>
                        </m:ctrlPr>
                      </m:fPr>
                      <m:num>
                        <m:nary>
                          <m:naryPr>
                            <m:chr m:val="∑"/>
                            <m:limLoc m:val="undOvr"/>
                            <m:subHide m:val="1"/>
                            <m:supHide m:val="1"/>
                            <m:ctrlPr>
                              <w:rPr>
                                <w:rFonts w:ascii="Cambria Math" w:hAnsi="Times New Roman" w:cs="Times New Roman"/>
                                <w:i/>
                                <w:sz w:val="40"/>
                                <w:szCs w:val="40"/>
                              </w:rPr>
                            </m:ctrlPr>
                          </m:naryPr>
                          <m:sub>
                            <m:ctrlPr>
                              <w:rPr>
                                <w:rFonts w:ascii="Cambria Math" w:hAnsi="Times New Roman" w:cs="Times New Roman"/>
                                <w:i/>
                                <w:sz w:val="40"/>
                                <w:szCs w:val="40"/>
                              </w:rPr>
                            </m:ctrlPr>
                          </m:sub>
                          <m:sup>
                            <m:ctrlPr>
                              <w:rPr>
                                <w:rFonts w:ascii="Cambria Math" w:hAnsi="Times New Roman" w:cs="Times New Roman"/>
                                <w:i/>
                                <w:sz w:val="40"/>
                                <w:szCs w:val="40"/>
                              </w:rPr>
                            </m:ctrlPr>
                          </m:sup>
                          <m:e>
                            <m:r>
                              <m:rPr/>
                              <w:rPr>
                                <w:rFonts w:ascii="Cambria Math" w:hAnsi="Cambria Math" w:cs="Times New Roman"/>
                                <w:sz w:val="40"/>
                                <w:szCs w:val="40"/>
                              </w:rPr>
                              <m:t>XiJ</m:t>
                            </m:r>
                            <m:ctrlPr>
                              <w:rPr>
                                <w:rFonts w:ascii="Cambria Math" w:hAnsi="Times New Roman" w:cs="Times New Roman"/>
                                <w:i/>
                                <w:sz w:val="40"/>
                                <w:szCs w:val="40"/>
                              </w:rPr>
                            </m:ctrlPr>
                          </m:e>
                        </m:nary>
                        <m:ctrlPr>
                          <w:rPr>
                            <w:rFonts w:ascii="Cambria Math" w:hAnsi="Times New Roman" w:cs="Times New Roman"/>
                            <w:i/>
                            <w:sz w:val="40"/>
                            <w:szCs w:val="40"/>
                          </w:rPr>
                        </m:ctrlPr>
                      </m:num>
                      <m:den>
                        <m:r>
                          <m:rPr/>
                          <w:rPr>
                            <w:rFonts w:ascii="Cambria Math" w:hAnsi="Cambria Math" w:cs="Times New Roman"/>
                            <w:sz w:val="40"/>
                            <w:szCs w:val="40"/>
                          </w:rPr>
                          <m:t>n</m:t>
                        </m:r>
                        <m:ctrlPr>
                          <w:rPr>
                            <w:rFonts w:ascii="Cambria Math" w:hAnsi="Times New Roman" w:cs="Times New Roman"/>
                            <w:i/>
                            <w:sz w:val="40"/>
                            <w:szCs w:val="40"/>
                          </w:rPr>
                        </m:ctrlPr>
                      </m:den>
                    </m:f>
                  </m:oMath>
                </w:p>
                <w:p/>
              </w:txbxContent>
            </v:textbox>
          </v:shape>
        </w:pict>
      </w:r>
      <w:r>
        <w:rPr>
          <w:rFonts w:ascii="Times New Roman" w:hAnsi="Times New Roman" w:cs="Times New Roman"/>
          <w:sz w:val="24"/>
          <w:szCs w:val="24"/>
        </w:rPr>
        <w:t>CSR dapat dihitung dengan rumus sebagai berikut :</w:t>
      </w:r>
    </w:p>
    <w:p>
      <w:pPr>
        <w:tabs>
          <w:tab w:val="left" w:pos="720"/>
        </w:tabs>
        <w:ind w:firstLine="0"/>
        <w:rPr>
          <w:rFonts w:ascii="Times New Roman" w:hAnsi="Times New Roman" w:cs="Times New Roman"/>
          <w:sz w:val="24"/>
          <w:szCs w:val="24"/>
        </w:rPr>
      </w:pPr>
    </w:p>
    <w:p>
      <w:pPr>
        <w:tabs>
          <w:tab w:val="left" w:pos="720"/>
        </w:tabs>
        <w:ind w:firstLine="0"/>
        <w:rPr>
          <w:rFonts w:ascii="Times New Roman" w:hAnsi="Times New Roman" w:cs="Times New Roman" w:eastAsiaTheme="minorEastAsia"/>
          <w:i/>
          <w:sz w:val="24"/>
          <w:szCs w:val="24"/>
        </w:rPr>
      </w:pPr>
    </w:p>
    <w:p>
      <w:pPr>
        <w:tabs>
          <w:tab w:val="left" w:pos="720"/>
        </w:tabs>
        <w:ind w:firstLine="0"/>
        <w:jc w:val="center"/>
        <w:rPr>
          <w:rFonts w:ascii="Times New Roman" w:hAnsi="Times New Roman" w:cs="Times New Roman" w:eastAsiaTheme="minorEastAsia"/>
          <w:i/>
          <w:sz w:val="24"/>
          <w:szCs w:val="24"/>
        </w:rPr>
      </w:pPr>
      <w:r>
        <w:rPr>
          <w:rFonts w:ascii="Times New Roman" w:hAnsi="Times New Roman" w:cs="Times New Roman" w:eastAsiaTheme="minorEastAsia"/>
          <w:i/>
          <w:sz w:val="24"/>
          <w:szCs w:val="24"/>
        </w:rPr>
        <w:t xml:space="preserve">Sumber : </w:t>
      </w:r>
      <w:sdt>
        <w:sdtPr>
          <w:rPr>
            <w:rFonts w:ascii="Times New Roman" w:hAnsi="Times New Roman" w:cs="Times New Roman" w:eastAsiaTheme="minorEastAsia"/>
            <w:i/>
            <w:sz w:val="24"/>
            <w:szCs w:val="24"/>
          </w:rPr>
          <w:id w:val="967559286"/>
        </w:sdtPr>
        <w:sdtEndPr>
          <w:rPr>
            <w:rFonts w:ascii="Times New Roman" w:hAnsi="Times New Roman" w:cs="Times New Roman" w:eastAsiaTheme="minorEastAsia"/>
            <w:i/>
            <w:sz w:val="24"/>
            <w:szCs w:val="24"/>
          </w:rPr>
        </w:sdtEndPr>
        <w:sdtContent>
          <w:r>
            <w:rPr>
              <w:rFonts w:ascii="Times New Roman" w:hAnsi="Times New Roman" w:cs="Times New Roman" w:eastAsiaTheme="minorEastAsia"/>
              <w:i/>
              <w:sz w:val="24"/>
              <w:szCs w:val="24"/>
            </w:rPr>
            <w:fldChar w:fldCharType="begin"/>
          </w:r>
          <w:r>
            <w:rPr>
              <w:rFonts w:ascii="Times New Roman" w:hAnsi="Times New Roman" w:cs="Times New Roman" w:eastAsiaTheme="minorEastAsia"/>
              <w:i/>
              <w:sz w:val="24"/>
              <w:szCs w:val="24"/>
            </w:rPr>
            <w:instrText xml:space="preserve"> CITATION Ram17 \l 1033 </w:instrText>
          </w:r>
          <w:r>
            <w:rPr>
              <w:rFonts w:ascii="Times New Roman" w:hAnsi="Times New Roman" w:cs="Times New Roman" w:eastAsiaTheme="minorEastAsia"/>
              <w:i/>
              <w:sz w:val="24"/>
              <w:szCs w:val="24"/>
            </w:rPr>
            <w:fldChar w:fldCharType="separate"/>
          </w:r>
          <w:r>
            <w:rPr>
              <w:rFonts w:ascii="Times New Roman" w:hAnsi="Times New Roman" w:cs="Times New Roman" w:eastAsiaTheme="minorEastAsia"/>
              <w:sz w:val="24"/>
              <w:szCs w:val="24"/>
            </w:rPr>
            <w:t>(Ramona, 2017)</w:t>
          </w:r>
          <w:r>
            <w:rPr>
              <w:rFonts w:ascii="Times New Roman" w:hAnsi="Times New Roman" w:cs="Times New Roman" w:eastAsiaTheme="minorEastAsia"/>
              <w:i/>
              <w:sz w:val="24"/>
              <w:szCs w:val="24"/>
            </w:rPr>
            <w:fldChar w:fldCharType="end"/>
          </w:r>
        </w:sdtContent>
      </w:sdt>
    </w:p>
    <w:p>
      <w:pPr>
        <w:ind w:firstLine="0"/>
        <w:rPr>
          <w:rFonts w:ascii="Times New Roman" w:hAnsi="Times New Roman" w:cs="Times New Roman"/>
          <w:sz w:val="24"/>
          <w:szCs w:val="24"/>
        </w:rPr>
      </w:pPr>
      <w:r>
        <w:rPr>
          <w:rFonts w:ascii="Times New Roman" w:hAnsi="Times New Roman" w:cs="Times New Roman"/>
          <w:sz w:val="24"/>
          <w:szCs w:val="24"/>
        </w:rPr>
        <w:t xml:space="preserve">keterangan : </w:t>
      </w:r>
    </w:p>
    <w:p>
      <w:pPr>
        <w:tabs>
          <w:tab w:val="left" w:pos="90"/>
          <w:tab w:val="left" w:pos="720"/>
        </w:tabs>
        <w:rPr>
          <w:rFonts w:ascii="Times New Roman" w:hAnsi="Times New Roman" w:cs="Times New Roman"/>
          <w:sz w:val="24"/>
          <w:szCs w:val="24"/>
        </w:rPr>
      </w:pPr>
      <w:r>
        <w:rPr>
          <w:rFonts w:ascii="Times New Roman" w:hAnsi="Times New Roman" w:cs="Times New Roman"/>
          <w:sz w:val="24"/>
          <w:szCs w:val="24"/>
        </w:rPr>
        <w:t>CSRIj</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Corporate Social Responsibility Disclosure Index</w:t>
      </w:r>
      <w:r>
        <w:rPr>
          <w:rFonts w:ascii="Times New Roman" w:hAnsi="Times New Roman" w:cs="Times New Roman"/>
          <w:sz w:val="24"/>
          <w:szCs w:val="24"/>
        </w:rPr>
        <w:t xml:space="preserve"> perusahaan</w:t>
      </w:r>
    </w:p>
    <w:p>
      <w:p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Xij</w:t>
      </w:r>
      <w:r>
        <w:rPr>
          <w:rFonts w:ascii="Times New Roman" w:hAnsi="Times New Roman" w:cs="Times New Roman"/>
          <w:sz w:val="24"/>
          <w:szCs w:val="24"/>
        </w:rPr>
        <w:tab/>
      </w:r>
      <w:r>
        <w:rPr>
          <w:rFonts w:ascii="Times New Roman" w:hAnsi="Times New Roman" w:cs="Times New Roman"/>
          <w:sz w:val="24"/>
          <w:szCs w:val="24"/>
        </w:rPr>
        <w:t xml:space="preserve">: Total angka atau skor yang diperoleh masing-masing perusahaan. </w:t>
      </w:r>
    </w:p>
    <w:p>
      <w:pPr>
        <w:tabs>
          <w:tab w:val="left" w:pos="90"/>
          <w:tab w:val="left" w:pos="720"/>
        </w:tabs>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jumlah keseluruhan item </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Standar pengungkapan </w:t>
      </w:r>
      <w:r>
        <w:rPr>
          <w:rFonts w:ascii="Times New Roman" w:hAnsi="Times New Roman" w:cs="Times New Roman"/>
          <w:i/>
          <w:sz w:val="24"/>
          <w:szCs w:val="24"/>
        </w:rPr>
        <w:t>Corporate Social Responsibility</w:t>
      </w:r>
      <w:r>
        <w:rPr>
          <w:rFonts w:ascii="Times New Roman" w:hAnsi="Times New Roman" w:cs="Times New Roman"/>
          <w:sz w:val="24"/>
          <w:szCs w:val="24"/>
        </w:rPr>
        <w:t xml:space="preserve"> atau tanggung jawab sosial perusahaan yang banyak digunakan adalah standar yang ditetapkan oleh </w:t>
      </w:r>
      <w:r>
        <w:rPr>
          <w:rFonts w:ascii="Times New Roman" w:hAnsi="Times New Roman" w:cs="Times New Roman"/>
          <w:i/>
          <w:sz w:val="24"/>
          <w:szCs w:val="24"/>
        </w:rPr>
        <w:t>Global Reporting Initiative</w:t>
      </w:r>
      <w:r>
        <w:rPr>
          <w:rFonts w:ascii="Times New Roman" w:hAnsi="Times New Roman" w:cs="Times New Roman"/>
          <w:sz w:val="24"/>
          <w:szCs w:val="24"/>
        </w:rPr>
        <w:t xml:space="preserve">. GRI Barometer dipilih karena fokusnya adalah pada pengungkapan standar kinerja ekonomi, sosial, dan lingkungan, peningkatan kualitas dan laporan keberlanjutan. Dalam studi ini, kami menggunakan 3 indikator kinerja, yaitu indikator ekonomi, sosial dan lingkungan yang berjumlah 91 indikator </w:t>
      </w:r>
      <w:sdt>
        <w:sdtPr>
          <w:id w:val="1033826670"/>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Kho19 \l 1033 </w:instrText>
          </w:r>
          <w:r>
            <w:rPr>
              <w:rFonts w:ascii="Times New Roman" w:hAnsi="Times New Roman" w:cs="Times New Roman"/>
              <w:sz w:val="24"/>
              <w:szCs w:val="24"/>
            </w:rPr>
            <w:fldChar w:fldCharType="separate"/>
          </w:r>
          <w:r>
            <w:rPr>
              <w:rFonts w:ascii="Times New Roman" w:hAnsi="Times New Roman" w:cs="Times New Roman"/>
              <w:sz w:val="24"/>
              <w:szCs w:val="24"/>
            </w:rPr>
            <w:t>(Kholida &amp; Susilo, 2019)</w:t>
          </w:r>
          <w:r>
            <w:rPr>
              <w:rFonts w:ascii="Times New Roman" w:hAnsi="Times New Roman" w:cs="Times New Roman"/>
              <w:sz w:val="24"/>
              <w:szCs w:val="24"/>
            </w:rPr>
            <w:fldChar w:fldCharType="end"/>
          </w:r>
        </w:sdtContent>
      </w:sdt>
      <w:r>
        <w:t>.</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Pengungkapan CSR memberikan pemahaman bahwa CSR pada dasarnya adalah komitmen perusahaan terhadap tiga unsur yaitu ekonomi, sosial dan lingkungan. Perusahaan menyadari bahwa kelangsungan hidup perusahaan juga bergantung pada hubungan perusahaan dengan sosial dan lingkungan perusahaan. Hal ini sesuai dengan data yang diungkapkan oleh  manajemen mengenai kegiatan sosialnya, termasuk lingkungan, energi, kesehatan, keselamatan kerja, dan topik lain yang terkait dengan ketenagakerjaan, produk partisipasi masyarakat, dan publik.</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Pengungkapan </w:t>
      </w:r>
      <w:r>
        <w:rPr>
          <w:rFonts w:ascii="Times New Roman" w:hAnsi="Times New Roman" w:cs="Times New Roman"/>
          <w:i/>
          <w:sz w:val="24"/>
          <w:szCs w:val="24"/>
        </w:rPr>
        <w:t>Corporate Social Responsibility</w:t>
      </w:r>
      <w:r>
        <w:rPr>
          <w:rFonts w:ascii="Times New Roman" w:hAnsi="Times New Roman" w:cs="Times New Roman"/>
          <w:sz w:val="24"/>
          <w:szCs w:val="24"/>
        </w:rPr>
        <w:t xml:space="preserve"> berdasarkan indikator adalah sebagai berikut : </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1. Lingkungan</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Pengendalian polusi kegiatan operasi, pengeluaran riset dan pengembangan untuk mengurangi polusi.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Operasi perusahaan tidak mengakibatkan polusi atau memenuhi ketentuan hukum dan peraturan polusi.</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Pernyataan yang menunjukkan bahwa polusi operasi telah atau akan dikurangi.</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Pencegahan atau perbaikan kerusakan lingkungan akibat pengelolaan sumber alam, misalnya reklamasi daratan atau reboisasi.</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Konservasi sumber alam, misalnya mendaur ulang kaca, besi, minyak, air dan kertas.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Penggunaan material daur ulang.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Menerima penghargaan berkaitan dengan program lingkungan yang dibuat perusahaan.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Merancang fasilitas yang harmonis dengan lingkungan.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Kontribusi dalam seni yang bertujuan untuk memperindah lingkungan.</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Kontribusi dalam pemugaran bangunan sejarah.</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Pengelolaan limbah.</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Riset mengenai pengelolaan limbah. </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Mempelajari dampak lingkungan untuk memonitor dampak lingkungan perusahaan.</w:t>
      </w:r>
    </w:p>
    <w:p>
      <w:pPr>
        <w:pStyle w:val="23"/>
        <w:numPr>
          <w:ilvl w:val="0"/>
          <w:numId w:val="8"/>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Perlindungan lingkungan hidup. </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2. Energi </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Menggunakan energi secara lebih efisien dalam kegiatan operasi.</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 Memanfaatkan barang bekas untuk memproduksi energi. </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Penghematan energi sebagai hasil produk daur ulang. </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Membahas upaya perusahaan dalam mengurangi konsumsi energi.</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Peningkatan efisiensi energi dan produk.</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Riset yang mengarah pada peningkatan efisiensi energi dari produk. </w:t>
      </w:r>
    </w:p>
    <w:p>
      <w:pPr>
        <w:pStyle w:val="23"/>
        <w:numPr>
          <w:ilvl w:val="0"/>
          <w:numId w:val="9"/>
        </w:numPr>
        <w:tabs>
          <w:tab w:val="left" w:pos="8550"/>
        </w:tabs>
        <w:rPr>
          <w:rFonts w:ascii="Times New Roman" w:hAnsi="Times New Roman" w:cs="Times New Roman"/>
          <w:sz w:val="24"/>
          <w:szCs w:val="24"/>
        </w:rPr>
      </w:pPr>
      <w:r>
        <w:rPr>
          <w:rFonts w:ascii="Times New Roman" w:hAnsi="Times New Roman" w:cs="Times New Roman"/>
          <w:sz w:val="24"/>
          <w:szCs w:val="24"/>
        </w:rPr>
        <w:t>Mengungkapkan kebijakan energi perusahaan.</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3. Kesehatan dan Keselamatan Kerja</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Mengurangi polusi, iritasi, atau resiko dalam lingkungan kerja. </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Mempromosikan keselamatan tenaga kerja dan kesehatan fisik atau mental.</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statistik kecelakaan kerja. </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Menaati peraturan standar kesehatan dengan keselamatan kerja.</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Menerima penghargaan berkaitan dengan keselamatan kerja. </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Menetapkan suatu komite keselamatan kerja. </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Melaksanakan riset untuk meningkatkan keselamatan kerja.</w:t>
      </w:r>
    </w:p>
    <w:p>
      <w:pPr>
        <w:pStyle w:val="23"/>
        <w:numPr>
          <w:ilvl w:val="0"/>
          <w:numId w:val="10"/>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pelayanan kesehatan tenaga kerja. </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4. Lain-Lain Tentang Tenaga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Perekrutan atau memanfaatkan tenaga kerja wanita/orang cacat.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Mengungkapkan presentase/jumlah tenaga kerja wanita/orang cacat dalam tingkat manajerial.</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Mengungkapkan tujuan penggunaan tenaga kerja wanita/orang cacat dalam pekerjaan.</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Program untuk kemajuan tenaga kerja/orang cacat.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Pelatihan tenaga kerja melalui program tertentu di tempat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Memberikan bantuan keuangan pada tenaga kerja dalam bidang pendidikan.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Mendirikan suatu pusat pelatihan tenaga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Mengungkapkan bantuan atau bimbingan untuk tenaga kerja yang dalam proses mengundurkan diri atau yang telah membuat kesalahan.</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perencanaan kepemilikan rumah karyawan.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fasilitas untuk aktivitas rekreasi.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Pengungkapan persentase gaji untuk pensiun.</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kebijakan penggajian dalam perusahaan.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Mengungkapkan jumlah tenaga kerja dalam perusahaan.</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tingkatan manajerial yang ada.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disposisi staff dimana staff ditempatkan.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jumlah staff, masa kerja dan kelompok usia mereka.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Mengungkapkan statistik tenaga kerja, misalnya penjualan per tenaga kerja.</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kualifikasi tenaga kerja yang direkrut.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rencana kepemilikan saham oleh tenaga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rencana pembagian keuntungan lain.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informasi hubungan manajemen dengan tenaga kerja dalam meningkatkan keputusan dan motivasi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informasi stabilitas pekerjaan tenaga kerja dan masa depan perusahaan.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Membuat laporan tenaga kerja yang terpisah.</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Melaporkan hubungan perusahaan dengan serikat buruh.</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Melaporkan gangguan dan aksi tenaga kerja.</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Mengungkapkan informasi bagaimana aksi tenaga kerja dinegosiasikan.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Peningkatan kondisi kerja secara umum.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Informasi reorganisasi perusahaan yang mempengaruhi tenaga kerja. </w:t>
      </w:r>
    </w:p>
    <w:p>
      <w:pPr>
        <w:pStyle w:val="23"/>
        <w:numPr>
          <w:ilvl w:val="0"/>
          <w:numId w:val="11"/>
        </w:numPr>
        <w:tabs>
          <w:tab w:val="left" w:pos="8550"/>
        </w:tabs>
        <w:rPr>
          <w:rFonts w:ascii="Times New Roman" w:hAnsi="Times New Roman" w:cs="Times New Roman"/>
          <w:sz w:val="24"/>
          <w:szCs w:val="24"/>
        </w:rPr>
      </w:pPr>
      <w:r>
        <w:rPr>
          <w:rFonts w:ascii="Times New Roman" w:hAnsi="Times New Roman" w:cs="Times New Roman"/>
          <w:sz w:val="24"/>
          <w:szCs w:val="24"/>
        </w:rPr>
        <w:t>Informasi dan statistik perputaran tenaga kerja.</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 5. Produk </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Pengungkapan informasi pengembangan produk perusahaan termasuk pengemasasn. </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Gambaran pengeluaran riset dan pengembangan produk.</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Pengungkapan informasi proyek riset perusahaan untuk memperbaiki produk.</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Pengungkapan bahwa produk memenuhi standar keselamatan.</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Membuat produk lebih aman untuk konsumen. </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Melaksanakan riset atas tingkat keselamatan produk perusahaan. </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Pengungkapan peningkatan kebersihan/kesehatan dalam pengolahan dan penyiapan produk.</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Pengungkapan informasi atas keselamatan produk perusahaan.</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Pengungkapan informasi mutu produk yang dicerminkan dalam penerimaan penghargaan.</w:t>
      </w:r>
    </w:p>
    <w:p>
      <w:pPr>
        <w:pStyle w:val="23"/>
        <w:numPr>
          <w:ilvl w:val="0"/>
          <w:numId w:val="12"/>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Informasi yang dapat diverifikasi bahwa mutu produk telah meningkat (misalnya, ISO 9000) </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6. Keterlibatan Masyarakat</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Sumbangan tunai, produk, pelayanan untuk mendukung aktivitas masyarakat, pendidikan, dan seni.</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Tenaga kerja paruh waktu dari mahasiswa/pelajar.</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Sebagai sponsor untuk proyek kesehatan masyarakat. </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Membantu riset media.</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Sebagai sponsor untuk konferensi pendidikan, seminar atau pameran seni. </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Membiayai program beasiswa.</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Membuka fasilitas perusahaan untuk masyarakat. </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Mensponsori kampanye nasional. </w:t>
      </w:r>
    </w:p>
    <w:p>
      <w:pPr>
        <w:pStyle w:val="23"/>
        <w:numPr>
          <w:ilvl w:val="0"/>
          <w:numId w:val="13"/>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Mendukung pengembangan industri lokal. </w:t>
      </w:r>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 xml:space="preserve">7. Umum </w:t>
      </w:r>
    </w:p>
    <w:p>
      <w:pPr>
        <w:pStyle w:val="23"/>
        <w:numPr>
          <w:ilvl w:val="0"/>
          <w:numId w:val="14"/>
        </w:numPr>
        <w:tabs>
          <w:tab w:val="left" w:pos="8550"/>
        </w:tabs>
        <w:rPr>
          <w:rFonts w:ascii="Times New Roman" w:hAnsi="Times New Roman" w:cs="Times New Roman"/>
          <w:sz w:val="24"/>
          <w:szCs w:val="24"/>
        </w:rPr>
      </w:pPr>
      <w:r>
        <w:rPr>
          <w:rFonts w:ascii="Times New Roman" w:hAnsi="Times New Roman" w:cs="Times New Roman"/>
          <w:sz w:val="24"/>
          <w:szCs w:val="24"/>
        </w:rPr>
        <w:t>Pengungkapan tujuan. Kebijakan perusahaan secara umum berkaitan dengan tanggung jawab sosial perusahaan kepada masyarakat.</w:t>
      </w:r>
    </w:p>
    <w:p>
      <w:pPr>
        <w:pStyle w:val="23"/>
        <w:numPr>
          <w:ilvl w:val="0"/>
          <w:numId w:val="14"/>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Informasi hubungan dengan tanggung jawab sosial perusahaan selain yang disebut diatas. </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Pengungkapan CSR memberikan pemahaman bahwa CSR pada dasarnya adalah komitmen perusahaan terhadap tiga elemen yaitu, ekonomi, sosial, dan lingkungan. perusahaan menyadari bahwa keberlangsungan hidup perusahaan juga tergantung dari hubungan perusahaan dengan masyarakat dan lingkungannya tempat perusahaan beroperasi. Hal ini sejalan dengan data yang diungkap oleh perusahaan/manajemen berkaitan dengan aktivitas sosialnya yang meliputi tema lingkungan, energi, kesehatan, keselamatan kerja, lain-lain tentang tenaga kerja, produk keterlibatan masyarakat, dan umum.   </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Salah Satu metode atau pendekatan yang dapat dilakukan untuk pengungkapan CSR adalah dengan melakukan pengungkapan tanggung jawab sosial dalam Laporan Tahunan </w:t>
      </w:r>
      <w:r>
        <w:rPr>
          <w:rFonts w:ascii="Times New Roman" w:hAnsi="Times New Roman" w:cs="Times New Roman"/>
          <w:i/>
          <w:sz w:val="24"/>
          <w:szCs w:val="24"/>
        </w:rPr>
        <w:t>(Disclosure In Annual Report).</w:t>
      </w:r>
      <w:r>
        <w:rPr>
          <w:rFonts w:ascii="Times New Roman" w:hAnsi="Times New Roman" w:cs="Times New Roman"/>
          <w:sz w:val="24"/>
          <w:szCs w:val="24"/>
        </w:rPr>
        <w:t xml:space="preserve"> Instrumen pengukuran dalam pengungkapan CSR yang dapat digunakan adalah </w:t>
      </w:r>
      <w:r>
        <w:rPr>
          <w:rFonts w:ascii="Times New Roman" w:hAnsi="Times New Roman" w:cs="Times New Roman"/>
          <w:i/>
          <w:sz w:val="24"/>
          <w:szCs w:val="24"/>
        </w:rPr>
        <w:t>Corporate Social Responsibility Index</w:t>
      </w:r>
      <w:r>
        <w:rPr>
          <w:rFonts w:ascii="Times New Roman" w:hAnsi="Times New Roman" w:cs="Times New Roman"/>
          <w:sz w:val="24"/>
          <w:szCs w:val="24"/>
        </w:rPr>
        <w:t xml:space="preserve"> (CSRI). Adapun langkah-langkah yang perlu dilakukan untuk mendapatkan hasil dari CSRI adalah : </w:t>
      </w:r>
    </w:p>
    <w:p>
      <w:pPr>
        <w:pStyle w:val="23"/>
        <w:numPr>
          <w:ilvl w:val="0"/>
          <w:numId w:val="15"/>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Membuat suatu daftar pengungkapan sosial. Daftar disusun dalam bentuk daftar item pengungkapan yang masing-masing item disediakan tempat jawaban mengenai status pengungkapannya pada laporan yang bersangkutan. </w:t>
      </w:r>
    </w:p>
    <w:p>
      <w:pPr>
        <w:pStyle w:val="23"/>
        <w:numPr>
          <w:ilvl w:val="0"/>
          <w:numId w:val="15"/>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Menentukan indeks pengungkapan sosial untuk perusahaan berdasarkan daftar pengungkapan sosial. Dalam menentukan indeks ini dilakukan dengan cara sebagai berikut : </w:t>
      </w:r>
    </w:p>
    <w:p>
      <w:pPr>
        <w:pStyle w:val="23"/>
        <w:numPr>
          <w:ilvl w:val="0"/>
          <w:numId w:val="16"/>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Pemberian skor pengungkapan bersifat dikotomi, dimana sebuah item pengungkapan diberi skor 1 apabila diungkapkan dan diberi skor 0 jika tidak diungkapkan. Menggunakan model pengungkapan yang tidak diberi bobot sehingga memperlakukan semua item pengungkapan secara sama. </w:t>
      </w:r>
    </w:p>
    <w:p>
      <w:pPr>
        <w:pStyle w:val="23"/>
        <w:numPr>
          <w:ilvl w:val="0"/>
          <w:numId w:val="16"/>
        </w:numPr>
        <w:tabs>
          <w:tab w:val="left" w:pos="8550"/>
        </w:tabs>
        <w:rPr>
          <w:rFonts w:ascii="Times New Roman" w:hAnsi="Times New Roman" w:cs="Times New Roman"/>
          <w:sz w:val="24"/>
          <w:szCs w:val="24"/>
        </w:rPr>
      </w:pPr>
      <w:r>
        <w:rPr>
          <w:rFonts w:ascii="Times New Roman" w:hAnsi="Times New Roman" w:cs="Times New Roman"/>
          <w:sz w:val="24"/>
          <w:szCs w:val="24"/>
        </w:rPr>
        <w:t>Skor yang diperoleh dijumlahkan untuk mendapatkan skor total.</w:t>
      </w:r>
    </w:p>
    <w:p>
      <w:pPr>
        <w:pStyle w:val="23"/>
        <w:numPr>
          <w:ilvl w:val="0"/>
          <w:numId w:val="16"/>
        </w:numPr>
        <w:tabs>
          <w:tab w:val="left" w:pos="8550"/>
        </w:tabs>
        <w:rPr>
          <w:rFonts w:ascii="Times New Roman" w:hAnsi="Times New Roman" w:cs="Times New Roman"/>
          <w:sz w:val="24"/>
          <w:szCs w:val="24"/>
        </w:rPr>
      </w:pPr>
      <w:r>
        <w:rPr>
          <w:rFonts w:ascii="Times New Roman" w:hAnsi="Times New Roman" w:cs="Times New Roman"/>
          <w:sz w:val="24"/>
          <w:szCs w:val="24"/>
        </w:rPr>
        <w:t xml:space="preserve">Perhitungan indeks dilakukan dengan cara membagi skor total dengan skor total yang diharapkan.  </w:t>
      </w:r>
    </w:p>
    <w:p>
      <w:pPr>
        <w:pStyle w:val="23"/>
        <w:numPr>
          <w:ilvl w:val="2"/>
          <w:numId w:val="7"/>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Risiko Bisnis</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2.1.3.1 Definisi Risiko Bisnis</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Risiko bisnis dapat dijelaskan sebagai ketidakpastian dalam estimasi laba rugi operasi dimasa depan perusahaan. Risiko bisnis dapat mempengaruhi kelangsungan hidup perusahaan, dimana perusahaan memiliki kemampuan untuk membayar hutangnya, perusahaan yang memiliki risiko bisnis yang lebih tinggi seringkali kurang mampu mengunakan utang dalam jumlah yang besar dalam pendanaan perusahaan karena untuk menghindari tidak terbayarnya hutang di masa depan </w:t>
      </w:r>
      <w:sdt>
        <w:sdtPr>
          <w:id w:val="1033826672"/>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Okt19 \l 1033 </w:instrText>
          </w:r>
          <w:r>
            <w:rPr>
              <w:rFonts w:ascii="Times New Roman" w:hAnsi="Times New Roman" w:cs="Times New Roman"/>
              <w:sz w:val="24"/>
              <w:szCs w:val="24"/>
            </w:rPr>
            <w:fldChar w:fldCharType="separate"/>
          </w:r>
          <w:r>
            <w:rPr>
              <w:rFonts w:ascii="Times New Roman" w:hAnsi="Times New Roman" w:cs="Times New Roman"/>
              <w:sz w:val="24"/>
              <w:szCs w:val="24"/>
            </w:rPr>
            <w:t>(Oktafiani, 2019)</w:t>
          </w:r>
          <w:r>
            <w:rPr>
              <w:rFonts w:ascii="Times New Roman" w:hAnsi="Times New Roman" w:cs="Times New Roman"/>
              <w:sz w:val="24"/>
              <w:szCs w:val="24"/>
            </w:rPr>
            <w:fldChar w:fldCharType="end"/>
          </w:r>
        </w:sdtContent>
      </w:sdt>
      <w:r>
        <w:t xml:space="preserve">. </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Menurut definisi Yunita dan TonySeno (2018), risiko bisnis adalah sebagai berikut: “Risiko bisnis adalah salah satu risiko aset perusahaan yang akan dihadapi perusahaan jika menggunakan utang yang berlebihan akibat beban biaya utang yang dilakukan perusahaan. Menurut Ratri dan Ari (2017) Menurut pernyataannya, pengertian risiko bisnis adalah sebagai berikut: “Risiko bisnis mengacu pada risiko perusahaan dimana perusahaan tidak dapat membayar biaya operasionalnya dan dipengaruhi oleh kestabilan pendapatan dan biaya. Dibandingkan dengan perusahaan dengan risiko bisnis yang lebih rendah, risiko bisnis cenderung menghindari pembiayaan utang. Sedangkan menurut Setyawan et al. (2016) menunjukkan bahwa risiko bisnis adalah ketidakpastian yang melekat pada pengembalian yang diharapkan atas aset masa depan yang dihadapi perusahaan.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Dari beberapa definisi risiko bisnis di atas, dapat disimpulkan bahwa risiko bisnis adalah risiko di mana perusahaan tidak dapat membayar biaya operasinya, yang sejalan dengan ketidakpastian tingkat pengembalian atau laba sebelum pajak bunga dan pajak </w:t>
      </w:r>
      <w:r>
        <w:rPr>
          <w:rFonts w:ascii="Times New Roman" w:hAnsi="Times New Roman" w:cs="Times New Roman"/>
          <w:i/>
          <w:sz w:val="24"/>
          <w:szCs w:val="24"/>
        </w:rPr>
        <w:t>( Earning Before Interenstand Tax/ EBIT)</w:t>
      </w:r>
      <w:r>
        <w:rPr>
          <w:rFonts w:ascii="Times New Roman" w:hAnsi="Times New Roman" w:cs="Times New Roman"/>
          <w:sz w:val="24"/>
          <w:szCs w:val="24"/>
        </w:rPr>
        <w:t xml:space="preserve"> atas total aktiva yang dimiliki perusahaan. </w:t>
      </w:r>
    </w:p>
    <w:p>
      <w:pPr>
        <w:ind w:firstLine="0"/>
        <w:rPr>
          <w:rFonts w:ascii="Times New Roman" w:hAnsi="Times New Roman" w:cs="Times New Roman"/>
          <w:b/>
          <w:sz w:val="24"/>
          <w:szCs w:val="24"/>
        </w:rPr>
      </w:pPr>
      <w:r>
        <w:rPr>
          <w:rFonts w:ascii="Times New Roman" w:hAnsi="Times New Roman" w:cs="Times New Roman"/>
          <w:b/>
          <w:sz w:val="24"/>
          <w:szCs w:val="24"/>
        </w:rPr>
        <w:t>2.1.3.2 Pengukuran Risiko Bisnis</w:t>
      </w:r>
    </w:p>
    <w:p>
      <w:pPr>
        <w:ind w:firstLine="720"/>
        <w:rPr>
          <w:rFonts w:ascii="Times New Roman" w:hAnsi="Times New Roman" w:cs="Times New Roman"/>
          <w:sz w:val="24"/>
          <w:szCs w:val="24"/>
        </w:rPr>
      </w:pPr>
      <w:r>
        <w:rPr>
          <w:rFonts w:ascii="Times New Roman" w:hAnsi="Times New Roman" w:cs="Times New Roman"/>
          <w:sz w:val="24"/>
          <w:szCs w:val="24"/>
        </w:rPr>
        <w:t>Tingkat risiko bisnis suatu perusahaan dapat dilihat dari perhitungan EBIT dibagi total aktiva, sehingga dari pembagian itu dapat dilihat besar kecilnya risiko bisnis yang ditentukan dari total aktiva yang dimiliki perusahaan.Menurut Ratri dan Ari (2017) Risiko bisnis adalah penyimpangan dari laba yang dicapai, dalam penelitian ini diukur dengan menggunakan</w:t>
      </w:r>
      <w:r>
        <w:rPr>
          <w:rFonts w:ascii="Times New Roman" w:hAnsi="Times New Roman" w:cs="Times New Roman"/>
          <w:i/>
          <w:sz w:val="24"/>
          <w:szCs w:val="24"/>
        </w:rPr>
        <w:t xml:space="preserve"> BRISK (Business Risk) </w:t>
      </w:r>
      <w:r>
        <w:rPr>
          <w:rFonts w:ascii="Times New Roman" w:hAnsi="Times New Roman" w:cs="Times New Roman"/>
          <w:sz w:val="24"/>
          <w:szCs w:val="24"/>
        </w:rPr>
        <w:t xml:space="preserve">(Wardana dan Sudiartha, 2015) Risiko bisnis pada penelitian ini diproksikan dengan EBIT </w:t>
      </w:r>
      <w:r>
        <w:rPr>
          <w:rFonts w:ascii="Times New Roman" w:hAnsi="Times New Roman" w:cs="Times New Roman"/>
          <w:i/>
          <w:sz w:val="24"/>
          <w:szCs w:val="24"/>
        </w:rPr>
        <w:t>(Earning Before Interest and Tax).</w:t>
      </w:r>
    </w:p>
    <w:p>
      <w:pPr>
        <w:ind w:firstLine="720"/>
        <w:rPr>
          <w:rFonts w:ascii="Times New Roman" w:hAnsi="Times New Roman" w:cs="Times New Roman"/>
          <w:i/>
          <w:sz w:val="24"/>
          <w:szCs w:val="24"/>
        </w:rPr>
      </w:pPr>
      <w:r>
        <w:rPr>
          <w:rFonts w:ascii="Times New Roman" w:hAnsi="Times New Roman" w:cs="Times New Roman"/>
          <w:i/>
          <w:sz w:val="24"/>
          <w:szCs w:val="24"/>
          <w:lang w:eastAsia="zh-TW"/>
        </w:rPr>
        <w:pict>
          <v:shape id="_x0000_s1143" o:spid="_x0000_s1143" o:spt="202" type="#_x0000_t202" style="position:absolute;left:0pt;margin-left:107.5pt;margin-top:9.25pt;height:63.4pt;width:186.75pt;z-index:251689984;mso-width-relative:margin;mso-height-relative:margin;" coordsize="21600,21600">
            <v:path/>
            <v:fill focussize="0,0"/>
            <v:stroke joinstyle="miter"/>
            <v:imagedata o:title=""/>
            <o:lock v:ext="edit"/>
            <v:textbox>
              <w:txbxContent>
                <w:p>
                  <w:pPr>
                    <w:tabs>
                      <w:tab w:val="left" w:pos="720"/>
                    </w:tabs>
                    <w:spacing w:line="240" w:lineRule="auto"/>
                    <w:ind w:firstLine="0"/>
                  </w:pPr>
                  <w:r>
                    <w:rPr>
                      <w:rFonts w:ascii="Times New Roman" w:hAnsi="Times New Roman" w:cs="Times New Roman"/>
                      <w:sz w:val="24"/>
                      <w:szCs w:val="24"/>
                    </w:rPr>
                    <w:t>BRISK   =</w:t>
                  </w:r>
                  <m:oMath>
                    <m:f>
                      <m:fPr>
                        <m:ctrlPr>
                          <w:rPr>
                            <w:rFonts w:ascii="Cambria Math" w:hAnsi="Times New Roman" w:cs="Times New Roman"/>
                            <w:i/>
                            <w:sz w:val="24"/>
                            <w:szCs w:val="24"/>
                          </w:rPr>
                        </m:ctrlPr>
                      </m:fPr>
                      <m:num>
                        <m:r>
                          <m:rPr/>
                          <w:rPr>
                            <w:rFonts w:ascii="Cambria Math" w:hAnsi="Cambria Math" w:cs="Times New Roman"/>
                            <w:sz w:val="24"/>
                            <w:szCs w:val="24"/>
                          </w:rPr>
                          <m:t>EBIT</m:t>
                        </m:r>
                        <m:ctrlPr>
                          <w:rPr>
                            <w:rFonts w:ascii="Cambria Math" w:hAnsi="Times New Roman" w:cs="Times New Roman"/>
                            <w:i/>
                            <w:sz w:val="24"/>
                            <w:szCs w:val="24"/>
                          </w:rPr>
                        </m:ctrlPr>
                      </m:num>
                      <m:den>
                        <m:r>
                          <m:rPr/>
                          <w:rPr>
                            <w:rFonts w:ascii="Cambria Math" w:hAnsi="Cambria Math" w:cs="Times New Roman"/>
                            <w:sz w:val="24"/>
                            <w:szCs w:val="24"/>
                          </w:rPr>
                          <m:t xml:space="preserve">  TOTALASET</m:t>
                        </m:r>
                        <m:ctrlPr>
                          <w:rPr>
                            <w:rFonts w:ascii="Cambria Math" w:hAnsi="Times New Roman" w:cs="Times New Roman"/>
                            <w:i/>
                            <w:sz w:val="24"/>
                            <w:szCs w:val="24"/>
                          </w:rPr>
                        </m:ctrlPr>
                      </m:den>
                    </m:f>
                  </m:oMath>
                  <w:r>
                    <w:rPr>
                      <w:rFonts w:ascii="Times New Roman" w:hAnsi="Times New Roman" w:cs="Times New Roman" w:eastAsiaTheme="minorEastAsia"/>
                      <w:sz w:val="24"/>
                      <w:szCs w:val="24"/>
                    </w:rPr>
                    <w:t>X 100%</w:t>
                  </w:r>
                </w:p>
              </w:txbxContent>
            </v:textbox>
          </v:shape>
        </w:pict>
      </w:r>
    </w:p>
    <w:p>
      <w:pPr>
        <w:ind w:firstLine="0"/>
        <w:rPr>
          <w:rFonts w:ascii="Times New Roman" w:hAnsi="Times New Roman" w:cs="Times New Roman"/>
          <w:sz w:val="24"/>
          <w:szCs w:val="24"/>
        </w:rPr>
      </w:pPr>
    </w:p>
    <w:p>
      <w:pPr>
        <w:ind w:firstLine="0"/>
        <w:rPr>
          <w:rFonts w:ascii="Times New Roman" w:hAnsi="Times New Roman" w:cs="Times New Roman"/>
          <w:sz w:val="24"/>
          <w:szCs w:val="24"/>
        </w:rPr>
      </w:pPr>
    </w:p>
    <w:p>
      <w:pPr>
        <w:ind w:firstLine="0"/>
        <w:jc w:val="center"/>
        <w:rPr>
          <w:rFonts w:ascii="Times New Roman" w:hAnsi="Times New Roman" w:cs="Times New Roman"/>
          <w:i/>
          <w:sz w:val="24"/>
          <w:szCs w:val="24"/>
        </w:rPr>
      </w:pPr>
      <w:r>
        <w:rPr>
          <w:rFonts w:ascii="Times New Roman" w:hAnsi="Times New Roman" w:cs="Times New Roman"/>
          <w:i/>
          <w:sz w:val="24"/>
          <w:szCs w:val="24"/>
        </w:rPr>
        <w:t xml:space="preserve">Sumber : </w:t>
      </w:r>
      <w:sdt>
        <w:sdtPr>
          <w:rPr>
            <w:rFonts w:ascii="Times New Roman" w:hAnsi="Times New Roman" w:cs="Times New Roman"/>
            <w:i/>
            <w:sz w:val="24"/>
            <w:szCs w:val="24"/>
          </w:rPr>
          <w:id w:val="842737627"/>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Wai19 \l 1033 </w:instrText>
          </w:r>
          <w:r>
            <w:rPr>
              <w:rFonts w:ascii="Times New Roman" w:hAnsi="Times New Roman" w:cs="Times New Roman"/>
              <w:i/>
              <w:sz w:val="24"/>
              <w:szCs w:val="24"/>
            </w:rPr>
            <w:fldChar w:fldCharType="separate"/>
          </w:r>
          <w:r>
            <w:rPr>
              <w:rFonts w:ascii="Times New Roman" w:hAnsi="Times New Roman" w:cs="Times New Roman"/>
              <w:sz w:val="24"/>
              <w:szCs w:val="24"/>
            </w:rPr>
            <w:t>(Wairooy, 2019)</w:t>
          </w:r>
          <w:r>
            <w:rPr>
              <w:rFonts w:ascii="Times New Roman" w:hAnsi="Times New Roman" w:cs="Times New Roman"/>
              <w:i/>
              <w:sz w:val="24"/>
              <w:szCs w:val="24"/>
            </w:rPr>
            <w:fldChar w:fldCharType="end"/>
          </w:r>
        </w:sdtContent>
      </w:sdt>
    </w:p>
    <w:p>
      <w:pPr>
        <w:ind w:firstLine="0"/>
        <w:rPr>
          <w:rFonts w:ascii="Times New Roman" w:hAnsi="Times New Roman" w:cs="Times New Roman"/>
          <w:sz w:val="24"/>
          <w:szCs w:val="24"/>
        </w:rPr>
      </w:pPr>
      <w:r>
        <w:rPr>
          <w:rFonts w:ascii="Times New Roman" w:hAnsi="Times New Roman" w:cs="Times New Roman"/>
          <w:sz w:val="24"/>
          <w:szCs w:val="24"/>
        </w:rPr>
        <w:t xml:space="preserve">keterangan : </w:t>
      </w:r>
    </w:p>
    <w:p>
      <w:pPr>
        <w:rPr>
          <w:rFonts w:ascii="Times New Roman" w:hAnsi="Times New Roman" w:cs="Times New Roman"/>
          <w:i/>
          <w:sz w:val="24"/>
          <w:szCs w:val="24"/>
        </w:rPr>
      </w:pPr>
      <w:r>
        <w:rPr>
          <w:rFonts w:ascii="Times New Roman" w:hAnsi="Times New Roman" w:cs="Times New Roman"/>
          <w:sz w:val="24"/>
          <w:szCs w:val="24"/>
        </w:rPr>
        <w:t xml:space="preserve">BRISK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Business Risk</w:t>
      </w:r>
    </w:p>
    <w:p>
      <w:pPr>
        <w:rPr>
          <w:rFonts w:ascii="Times New Roman" w:hAnsi="Times New Roman" w:cs="Times New Roman"/>
          <w:sz w:val="24"/>
          <w:szCs w:val="24"/>
        </w:rPr>
      </w:pPr>
      <w:r>
        <w:rPr>
          <w:rFonts w:ascii="Times New Roman" w:hAnsi="Times New Roman" w:cs="Times New Roman"/>
          <w:sz w:val="24"/>
          <w:szCs w:val="24"/>
        </w:rPr>
        <w:t>EBIT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Laba bersih sebelum bunga dan pajak </w:t>
      </w:r>
    </w:p>
    <w:p>
      <w:pPr>
        <w:rPr>
          <w:rFonts w:ascii="Times New Roman" w:hAnsi="Times New Roman" w:cs="Times New Roman"/>
          <w:sz w:val="24"/>
          <w:szCs w:val="24"/>
        </w:rPr>
      </w:pPr>
      <w:r>
        <w:rPr>
          <w:rFonts w:ascii="Times New Roman" w:hAnsi="Times New Roman" w:cs="Times New Roman"/>
          <w:sz w:val="24"/>
          <w:szCs w:val="24"/>
        </w:rPr>
        <w:t>Total Assets</w:t>
      </w:r>
      <w:r>
        <w:rPr>
          <w:rFonts w:ascii="Times New Roman" w:hAnsi="Times New Roman" w:cs="Times New Roman"/>
          <w:sz w:val="24"/>
          <w:szCs w:val="24"/>
        </w:rPr>
        <w:tab/>
      </w:r>
      <w:r>
        <w:rPr>
          <w:rFonts w:ascii="Times New Roman" w:hAnsi="Times New Roman" w:cs="Times New Roman"/>
          <w:sz w:val="24"/>
          <w:szCs w:val="24"/>
        </w:rPr>
        <w:t xml:space="preserve"> : Dilihat pada neraca dilaporan keuangan</w:t>
      </w:r>
    </w:p>
    <w:p>
      <w:pPr>
        <w:ind w:firstLine="720"/>
        <w:rPr>
          <w:rFonts w:ascii="Times New Roman" w:hAnsi="Times New Roman" w:cs="Times New Roman"/>
          <w:sz w:val="24"/>
          <w:szCs w:val="24"/>
        </w:rPr>
      </w:pPr>
      <w:r>
        <w:rPr>
          <w:rFonts w:ascii="Times New Roman" w:hAnsi="Times New Roman" w:cs="Times New Roman"/>
          <w:sz w:val="24"/>
          <w:szCs w:val="24"/>
        </w:rPr>
        <w:t xml:space="preserve">Standar deviasi merupakan ukuran disperse (penyebaran), dalam hal ini, ukuran secara statistic dari risiko dimana semakin besar nilai standar deviasi, maka semakin besar risikonnya. </w:t>
      </w:r>
    </w:p>
    <w:p>
      <w:pPr>
        <w:pStyle w:val="23"/>
        <w:numPr>
          <w:ilvl w:val="2"/>
          <w:numId w:val="7"/>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Nilai perusahaan</w:t>
      </w:r>
    </w:p>
    <w:p>
      <w:pPr>
        <w:pStyle w:val="23"/>
        <w:numPr>
          <w:ilvl w:val="3"/>
          <w:numId w:val="7"/>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Pengertian Nilai perusahaan</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 xml:space="preserve">Nilai perusahaan merupakan gambaran para </w:t>
      </w:r>
      <w:r>
        <w:rPr>
          <w:rFonts w:ascii="Times New Roman" w:hAnsi="Times New Roman" w:cs="Times New Roman"/>
          <w:i/>
          <w:sz w:val="24"/>
          <w:szCs w:val="24"/>
        </w:rPr>
        <w:t>investor</w:t>
      </w:r>
      <w:r>
        <w:rPr>
          <w:rFonts w:ascii="Times New Roman" w:hAnsi="Times New Roman" w:cs="Times New Roman"/>
          <w:sz w:val="24"/>
          <w:szCs w:val="24"/>
        </w:rPr>
        <w:t xml:space="preserve"> untuk melihat kinerja dan prospek perusahaan dimasa yang akan datang, semakin meningkat harga saham maka akan meningkatkan nilai perusahaan (Mahmoud Ibrahim, 2017). Sedangkan menurut Rosikah, et al (2018) mengungkapkan bahwa Nilai perusahaan merupakan keseluruhan nilai asset yang dimiliki oleh perusahaan, yang terdiri dari nilai pasar modal dan nilai.</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Nilai Perusahaan dapat dijadikan sebagai tolak ukur untuk melihat perkembangan perusahaan dengan tujuan untuk meningkatkan kepercayaan para pemegang saham, sehingga mampu menarik minat para investor untuk berinvestasi (Risma dan Regi, 2017). Menurut Umi Kalsum (2017) menjelaskan bahwa Nilai perusahaan merupakan harga yang bersedia dibayar oleh calon pembeli jika perusahaan tersebut dijual.</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Nilai perusahaan merupakan pandangan investor terhadap perusahaan yang dapat diukur dari nilai harga saham. Pembentukan harga saham suatu perusahaan di pasar mencerminkan penilaian publik terhadap kinerja perusahaan yang sebenarnya. Karena pembentukan harga pasar adalah perpotongan antara titik stabil gaya permintaan dan titik stabil gaya harga penawaran, yang terjadi transaksi jual beli surat berharga dipasar modal antara penjual (</w:t>
      </w:r>
      <w:r>
        <w:rPr>
          <w:rFonts w:ascii="Times New Roman" w:hAnsi="Times New Roman" w:cs="Times New Roman"/>
          <w:i/>
          <w:sz w:val="24"/>
          <w:szCs w:val="24"/>
        </w:rPr>
        <w:t>emiten</w:t>
      </w:r>
      <w:r>
        <w:rPr>
          <w:rFonts w:ascii="Times New Roman" w:hAnsi="Times New Roman" w:cs="Times New Roman"/>
          <w:sz w:val="24"/>
          <w:szCs w:val="24"/>
        </w:rPr>
        <w:t xml:space="preserve">) dan </w:t>
      </w:r>
      <w:r>
        <w:rPr>
          <w:rFonts w:ascii="Times New Roman" w:hAnsi="Times New Roman" w:cs="Times New Roman"/>
          <w:i/>
          <w:sz w:val="24"/>
          <w:szCs w:val="24"/>
        </w:rPr>
        <w:t xml:space="preserve">investor, </w:t>
      </w:r>
      <w:r>
        <w:rPr>
          <w:rFonts w:ascii="Times New Roman" w:hAnsi="Times New Roman" w:cs="Times New Roman"/>
          <w:sz w:val="24"/>
          <w:szCs w:val="24"/>
        </w:rPr>
        <w:t xml:space="preserve">Oleh karena itu, dalam teori keuangan pasar modal harga saham di pasar disebut sebagai konsep nilai perusahaan </w:t>
      </w:r>
      <w:sdt>
        <w:sdtPr>
          <w:rPr>
            <w:rFonts w:ascii="Times New Roman" w:hAnsi="Times New Roman" w:cs="Times New Roman"/>
            <w:sz w:val="24"/>
            <w:szCs w:val="24"/>
          </w:rPr>
          <w:id w:val="1033826668"/>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RAC19 \l 1033  </w:instrText>
          </w:r>
          <w:r>
            <w:rPr>
              <w:rFonts w:ascii="Times New Roman" w:hAnsi="Times New Roman" w:cs="Times New Roman"/>
              <w:sz w:val="24"/>
              <w:szCs w:val="24"/>
            </w:rPr>
            <w:fldChar w:fldCharType="separate"/>
          </w:r>
          <w:r>
            <w:rPr>
              <w:rFonts w:ascii="Times New Roman" w:hAnsi="Times New Roman" w:cs="Times New Roman"/>
              <w:sz w:val="24"/>
              <w:szCs w:val="24"/>
            </w:rPr>
            <w:t>(Rachmawati, 2019)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Berdasarkan pemaparan diatas, dapat disimpulkan bahwa Nilai Perusahaan merupakan presepsi investor terhadap suatu perusahaan yang berkaitan dengan harga saham semakin tinggi nilai perusahaan menggambarkan semakin sejahtera pemiliknya. Bagi perusahaan yang sudah menerbitkan sahamnya di pasar modal harga saham yang diperjual belikan di bursa merupakan salah satu indikator nilai perusahaan (Selin, etal 2018). Nilai perusahaan dapat memberikan kemakmuran para pemegang saham secara maksimum apabila harga saham meningkat karena semakin tinggi harga saham akan semakin tinggi kemakmuran para pemegang saham (Umi Kalsum, 2017). Harga saham dapat di tentukan oleh faktor permintaan dan penawaran di pasar modal,jika permintaan saham tinggi, maka harga saham akan cenderung naik. Sedangkan pada kondisi penawaran saham rendah maka harga saham akan menurun.</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Dapat disimpulkan bahwa tingkat harga saham dapat dipengaruhi oleh pertimbangan faktor eksternal dan faktor internal antara pembeli dan penjual</w:t>
      </w:r>
      <w:r>
        <w:rPr>
          <w:rFonts w:ascii="Times New Roman" w:hAnsi="Times New Roman" w:cs="Times New Roman"/>
          <w:i/>
          <w:sz w:val="24"/>
          <w:szCs w:val="24"/>
        </w:rPr>
        <w:t>.</w:t>
      </w:r>
    </w:p>
    <w:p>
      <w:pPr>
        <w:ind w:left="2790" w:hanging="2070"/>
        <w:rPr>
          <w:rFonts w:ascii="Times New Roman" w:hAnsi="Times New Roman" w:cs="Times New Roman"/>
          <w:sz w:val="24"/>
          <w:szCs w:val="24"/>
        </w:rPr>
      </w:pPr>
      <w:r>
        <w:rPr>
          <w:rFonts w:ascii="Times New Roman" w:hAnsi="Times New Roman" w:cs="Times New Roman"/>
          <w:sz w:val="24"/>
          <w:szCs w:val="24"/>
        </w:rPr>
        <w:t>1. Faktor eksternal: kondisi ekonomi, kebijakan pemerintah, inflasi, suku bunga, kondisi politik, dll.</w:t>
      </w:r>
    </w:p>
    <w:p>
      <w:pPr>
        <w:ind w:left="2790" w:hanging="2070"/>
        <w:rPr>
          <w:rFonts w:ascii="Times New Roman" w:hAnsi="Times New Roman" w:cs="Times New Roman"/>
          <w:sz w:val="24"/>
          <w:szCs w:val="24"/>
        </w:rPr>
      </w:pPr>
      <w:r>
        <w:rPr>
          <w:rFonts w:ascii="Times New Roman" w:hAnsi="Times New Roman" w:cs="Times New Roman"/>
          <w:sz w:val="24"/>
          <w:szCs w:val="24"/>
        </w:rPr>
        <w:t>2. Faktor internal: keputusan manajemen, kebijakan internal manajemen dan kinerja perusahaan Dalam hal ini perusahaan tidak dapat mengendalikan faktor eksternal, karena faktor eksternal terjadi diluar lingkungan perusahaan.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Perusahaan dapat mengontrol faktor internal agar harga saham tidak turun. Salah satunya melalui kinerja perusahaan. Salah satu cara untuk mengukur kinerja perusahaan, salah satunya dengan menggunakan analisis rasio keuangan.</w:t>
      </w:r>
    </w:p>
    <w:p>
      <w:pPr>
        <w:pStyle w:val="23"/>
        <w:numPr>
          <w:ilvl w:val="3"/>
          <w:numId w:val="7"/>
        </w:numPr>
        <w:tabs>
          <w:tab w:val="left" w:pos="8550"/>
        </w:tabs>
        <w:rPr>
          <w:rFonts w:ascii="Times New Roman" w:hAnsi="Times New Roman" w:cs="Times New Roman"/>
          <w:b/>
          <w:sz w:val="24"/>
          <w:szCs w:val="24"/>
        </w:rPr>
      </w:pPr>
      <w:r>
        <w:rPr>
          <w:rFonts w:ascii="Times New Roman" w:hAnsi="Times New Roman" w:cs="Times New Roman"/>
          <w:b/>
          <w:sz w:val="24"/>
          <w:szCs w:val="24"/>
        </w:rPr>
        <w:t>Pengukuran Nilai Perusahaan</w:t>
      </w:r>
    </w:p>
    <w:p>
      <w:pPr>
        <w:tabs>
          <w:tab w:val="left" w:pos="8550"/>
        </w:tabs>
        <w:ind w:firstLine="0"/>
        <w:rPr>
          <w:rFonts w:ascii="Times New Roman" w:hAnsi="Times New Roman" w:cs="Times New Roman"/>
          <w:b/>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Price to Book Value</w:t>
      </w:r>
      <w:r>
        <w:rPr>
          <w:rFonts w:ascii="Times New Roman" w:hAnsi="Times New Roman" w:cs="Times New Roman"/>
          <w:sz w:val="24"/>
          <w:szCs w:val="24"/>
        </w:rPr>
        <w:t xml:space="preserve"> (PBV)</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Menurut (Selin, 2018) book value (PBV) merupakan nilai yang dapat digunakan untuk membandingkan suatu saham lebih mahal atau lebih murah dari saham lain. Nilai buku (PBV) menunjukkan kemampuan perusahaan untuk menciptakan nilai relatif terhadap jumlah modal yang diinvestasikan (Fitri Dwi Jayanti,2018).</w:t>
      </w:r>
    </w:p>
    <w:p>
      <w:pPr>
        <w:ind w:firstLine="0"/>
        <w:rPr>
          <w:rFonts w:ascii="Times New Roman" w:hAnsi="Times New Roman" w:cs="Times New Roman"/>
          <w:sz w:val="24"/>
          <w:szCs w:val="24"/>
        </w:rPr>
      </w:pPr>
      <w:r>
        <w:rPr>
          <w:rFonts w:ascii="Times New Roman" w:hAnsi="Times New Roman" w:cs="Times New Roman" w:eastAsiaTheme="minorEastAsia"/>
          <w:sz w:val="24"/>
          <w:szCs w:val="24"/>
          <w:lang w:eastAsia="zh-TW"/>
        </w:rPr>
        <w:pict>
          <v:shape id="_x0000_s1144" o:spid="_x0000_s1144" o:spt="202" type="#_x0000_t202" style="position:absolute;left:0pt;margin-left:83.85pt;margin-top:24.3pt;height:48.15pt;width:194.65pt;z-index:251691008;mso-width-relative:margin;mso-height-relative:margin;" coordsize="21600,21600">
            <v:path/>
            <v:fill focussize="0,0"/>
            <v:stroke joinstyle="miter"/>
            <v:imagedata o:title=""/>
            <o:lock v:ext="edit"/>
            <v:textbox>
              <w:txbxContent>
                <w:p>
                  <w:pPr>
                    <w:tabs>
                      <w:tab w:val="left" w:pos="720"/>
                    </w:tabs>
                    <w:spacing w:before="240"/>
                    <w:ind w:firstLine="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PBV RATIO = </w:t>
                  </w:r>
                  <m:oMath>
                    <m:f>
                      <m:fPr>
                        <m:ctrlPr>
                          <w:rPr>
                            <w:rFonts w:ascii="Cambria Math" w:hAnsi="Times New Roman" w:cs="Times New Roman"/>
                            <w:sz w:val="24"/>
                            <w:szCs w:val="24"/>
                          </w:rPr>
                        </m:ctrlPr>
                      </m:fPr>
                      <m:num>
                        <m:r>
                          <m:rPr>
                            <m:sty m:val="p"/>
                          </m:rPr>
                          <w:rPr>
                            <w:rFonts w:ascii="Cambria Math" w:hAnsi="Times New Roman" w:cs="Times New Roman"/>
                            <w:sz w:val="24"/>
                            <w:szCs w:val="24"/>
                          </w:rPr>
                          <m:t>HARGA PASAR SAHAM</m:t>
                        </m:r>
                        <m:ctrlPr>
                          <w:rPr>
                            <w:rFonts w:ascii="Cambria Math" w:hAnsi="Times New Roman" w:cs="Times New Roman"/>
                            <w:sz w:val="24"/>
                            <w:szCs w:val="24"/>
                          </w:rPr>
                        </m:ctrlPr>
                      </m:num>
                      <m:den>
                        <m:r>
                          <m:rPr>
                            <m:sty m:val="p"/>
                          </m:rPr>
                          <w:rPr>
                            <w:rFonts w:ascii="Cambria Math" w:hAnsi="Times New Roman" w:cs="Times New Roman"/>
                            <w:sz w:val="24"/>
                            <w:szCs w:val="24"/>
                          </w:rPr>
                          <m:t xml:space="preserve">NILAI BUKU SAHAM </m:t>
                        </m:r>
                        <m:ctrlPr>
                          <w:rPr>
                            <w:rFonts w:ascii="Cambria Math" w:hAnsi="Times New Roman" w:cs="Times New Roman"/>
                            <w:sz w:val="24"/>
                            <w:szCs w:val="24"/>
                          </w:rPr>
                        </m:ctrlPr>
                      </m:den>
                    </m:f>
                  </m:oMath>
                </w:p>
                <w:p/>
                <w:p/>
              </w:txbxContent>
            </v:textbox>
          </v:shape>
        </w:pict>
      </w:r>
      <w:r>
        <w:rPr>
          <w:rFonts w:ascii="Times New Roman" w:hAnsi="Times New Roman" w:cs="Times New Roman"/>
          <w:sz w:val="24"/>
          <w:szCs w:val="24"/>
        </w:rPr>
        <w:t>Nilai perusahaan dapat diperoleh dengan cara:</w:t>
      </w:r>
    </w:p>
    <w:p>
      <w:pPr>
        <w:tabs>
          <w:tab w:val="left" w:pos="720"/>
        </w:tabs>
        <w:spacing w:before="240"/>
        <w:ind w:firstLine="0"/>
        <w:rPr>
          <w:rFonts w:ascii="Times New Roman" w:hAnsi="Times New Roman" w:cs="Times New Roman"/>
          <w:i/>
          <w:sz w:val="24"/>
          <w:szCs w:val="24"/>
        </w:rPr>
      </w:pPr>
    </w:p>
    <w:p>
      <w:pPr>
        <w:tabs>
          <w:tab w:val="left" w:pos="720"/>
        </w:tabs>
        <w:spacing w:before="240"/>
        <w:ind w:firstLine="0"/>
        <w:jc w:val="center"/>
        <w:rPr>
          <w:rFonts w:ascii="Times New Roman" w:hAnsi="Times New Roman" w:cs="Times New Roman"/>
          <w:i/>
          <w:sz w:val="24"/>
          <w:szCs w:val="24"/>
        </w:rPr>
      </w:pPr>
      <w:r>
        <w:rPr>
          <w:rFonts w:ascii="Times New Roman" w:hAnsi="Times New Roman" w:cs="Times New Roman"/>
          <w:i/>
          <w:sz w:val="24"/>
          <w:szCs w:val="24"/>
        </w:rPr>
        <w:t xml:space="preserve">Sumber : </w:t>
      </w:r>
      <w:sdt>
        <w:sdtPr>
          <w:rPr>
            <w:rFonts w:ascii="Times New Roman" w:hAnsi="Times New Roman" w:cs="Times New Roman"/>
            <w:i/>
            <w:sz w:val="24"/>
            <w:szCs w:val="24"/>
          </w:rPr>
          <w:id w:val="1596687315"/>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Kho20 \l 1033 </w:instrText>
          </w:r>
          <w:r>
            <w:rPr>
              <w:rFonts w:ascii="Times New Roman" w:hAnsi="Times New Roman" w:cs="Times New Roman"/>
              <w:i/>
              <w:sz w:val="24"/>
              <w:szCs w:val="24"/>
            </w:rPr>
            <w:fldChar w:fldCharType="separate"/>
          </w:r>
          <w:r>
            <w:rPr>
              <w:rFonts w:ascii="Times New Roman" w:hAnsi="Times New Roman" w:cs="Times New Roman"/>
              <w:sz w:val="24"/>
              <w:szCs w:val="24"/>
            </w:rPr>
            <w:t>(Khoeriyah, 2020)</w:t>
          </w:r>
          <w:r>
            <w:rPr>
              <w:rFonts w:ascii="Times New Roman" w:hAnsi="Times New Roman" w:cs="Times New Roman"/>
              <w:i/>
              <w:sz w:val="24"/>
              <w:szCs w:val="24"/>
            </w:rPr>
            <w:fldChar w:fldCharType="end"/>
          </w:r>
        </w:sdtContent>
      </w:sdt>
    </w:p>
    <w:p>
      <w:pPr>
        <w:tabs>
          <w:tab w:val="left" w:pos="720"/>
        </w:tabs>
        <w:ind w:firstLine="0"/>
        <w:rPr>
          <w:rFonts w:ascii="Times New Roman" w:hAnsi="Times New Roman" w:cs="Times New Roman"/>
          <w:sz w:val="24"/>
          <w:szCs w:val="24"/>
        </w:rPr>
      </w:pPr>
      <w:r>
        <w:rPr>
          <w:rFonts w:ascii="Times New Roman" w:hAnsi="Times New Roman" w:cs="Times New Roman"/>
          <w:sz w:val="24"/>
          <w:szCs w:val="24"/>
        </w:rPr>
        <w:t>Keterangan:</w:t>
      </w:r>
    </w:p>
    <w:p>
      <w:pPr>
        <w:tabs>
          <w:tab w:val="left" w:pos="720"/>
          <w:tab w:val="left" w:pos="3780"/>
        </w:tabs>
        <w:ind w:left="3870" w:hanging="3510"/>
        <w:rPr>
          <w:rFonts w:ascii="Times New Roman" w:hAnsi="Times New Roman" w:cs="Times New Roman"/>
          <w:sz w:val="24"/>
          <w:szCs w:val="24"/>
        </w:rPr>
      </w:pPr>
      <w:r>
        <w:rPr>
          <w:rFonts w:ascii="Times New Roman" w:hAnsi="Times New Roman" w:cs="Times New Roman"/>
          <w:sz w:val="24"/>
          <w:szCs w:val="24"/>
        </w:rPr>
        <w:t xml:space="preserve">PBV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Perhitungan atau perbandingan antara  </w:t>
      </w:r>
      <w:r>
        <w:rPr>
          <w:rFonts w:ascii="Times New Roman" w:hAnsi="Times New Roman" w:cs="Times New Roman"/>
          <w:i/>
          <w:sz w:val="24"/>
          <w:szCs w:val="24"/>
        </w:rPr>
        <w:t>market value</w:t>
      </w:r>
      <w:r>
        <w:rPr>
          <w:rFonts w:ascii="Times New Roman" w:hAnsi="Times New Roman" w:cs="Times New Roman"/>
          <w:sz w:val="24"/>
          <w:szCs w:val="24"/>
        </w:rPr>
        <w:t xml:space="preserve"> dengan </w:t>
      </w:r>
      <w:r>
        <w:rPr>
          <w:rFonts w:ascii="Times New Roman" w:hAnsi="Times New Roman" w:cs="Times New Roman"/>
          <w:i/>
          <w:sz w:val="24"/>
          <w:szCs w:val="24"/>
        </w:rPr>
        <w:t>book  value</w:t>
      </w:r>
      <w:r>
        <w:rPr>
          <w:rFonts w:ascii="Times New Roman" w:hAnsi="Times New Roman" w:cs="Times New Roman"/>
          <w:sz w:val="24"/>
          <w:szCs w:val="24"/>
        </w:rPr>
        <w:t>suatu saham.</w:t>
      </w:r>
    </w:p>
    <w:p>
      <w:pPr>
        <w:tabs>
          <w:tab w:val="left" w:pos="720"/>
          <w:tab w:val="left" w:pos="3600"/>
        </w:tabs>
        <w:ind w:left="3870" w:hanging="3870"/>
        <w:rPr>
          <w:rFonts w:ascii="Times New Roman" w:hAnsi="Times New Roman" w:cs="Times New Roman"/>
          <w:sz w:val="24"/>
          <w:szCs w:val="24"/>
        </w:rPr>
      </w:pPr>
      <w:r>
        <w:rPr>
          <w:rFonts w:ascii="Times New Roman" w:hAnsi="Times New Roman" w:cs="Times New Roman"/>
          <w:sz w:val="24"/>
          <w:szCs w:val="24"/>
        </w:rPr>
        <w:t xml:space="preserve">    Harga Pasar Saham                   </w:t>
      </w:r>
      <w:r>
        <w:rPr>
          <w:rFonts w:ascii="Times New Roman" w:hAnsi="Times New Roman" w:cs="Times New Roman"/>
          <w:sz w:val="24"/>
          <w:szCs w:val="24"/>
        </w:rPr>
        <w:tab/>
      </w:r>
      <w:r>
        <w:rPr>
          <w:rFonts w:ascii="Times New Roman" w:hAnsi="Times New Roman" w:cs="Times New Roman"/>
          <w:sz w:val="24"/>
          <w:szCs w:val="24"/>
        </w:rPr>
        <w:t xml:space="preserve">     : Nilai Pasar sekuritas yang dapat  diperoleh investor apabila investor menjual atau membeli saham, yang ditentukan berdasarkan harga penutupan atau closing price di bursa padam hari yang bersangkutan.</w:t>
      </w:r>
    </w:p>
    <w:p>
      <w:pPr>
        <w:tabs>
          <w:tab w:val="left" w:pos="720"/>
          <w:tab w:val="left" w:pos="3330"/>
          <w:tab w:val="left" w:pos="3960"/>
        </w:tabs>
        <w:ind w:left="3870" w:hanging="3510"/>
        <w:rPr>
          <w:rFonts w:ascii="Times New Roman" w:hAnsi="Times New Roman" w:cs="Times New Roman"/>
          <w:sz w:val="24"/>
          <w:szCs w:val="24"/>
        </w:rPr>
      </w:pPr>
      <w:r>
        <w:rPr>
          <w:rFonts w:ascii="Times New Roman" w:hAnsi="Times New Roman" w:cs="Times New Roman"/>
          <w:sz w:val="24"/>
          <w:szCs w:val="24"/>
        </w:rPr>
        <w:t>Nilai Buku per lembar saham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Nilai Aktiva bersih </w:t>
      </w:r>
      <w:r>
        <w:rPr>
          <w:rFonts w:ascii="Times New Roman" w:hAnsi="Times New Roman" w:cs="Times New Roman"/>
          <w:i/>
          <w:sz w:val="24"/>
          <w:szCs w:val="24"/>
        </w:rPr>
        <w:t>(net assets</w:t>
      </w:r>
      <w:r>
        <w:rPr>
          <w:rFonts w:ascii="Times New Roman" w:hAnsi="Times New Roman" w:cs="Times New Roman"/>
          <w:sz w:val="24"/>
          <w:szCs w:val="24"/>
        </w:rPr>
        <w:t>) yang dimiliki pemilik dengan memiliki satu lembar saham</w:t>
      </w:r>
    </w:p>
    <w:p>
      <w:pPr>
        <w:tabs>
          <w:tab w:val="left" w:pos="720"/>
        </w:tabs>
        <w:rPr>
          <w:rFonts w:ascii="Times New Roman" w:hAnsi="Times New Roman" w:cs="Times New Roman"/>
          <w:sz w:val="24"/>
          <w:szCs w:val="24"/>
        </w:rPr>
      </w:pPr>
      <w:r>
        <w:rPr>
          <w:rFonts w:ascii="Times New Roman" w:hAnsi="Times New Roman" w:cs="Times New Roman"/>
          <w:sz w:val="24"/>
          <w:szCs w:val="24"/>
        </w:rPr>
        <w:t xml:space="preserve">Untuk menentukan posisi saham menggunakan metode </w:t>
      </w:r>
      <w:r>
        <w:rPr>
          <w:rFonts w:ascii="Times New Roman" w:hAnsi="Times New Roman" w:cs="Times New Roman"/>
          <w:i/>
          <w:sz w:val="24"/>
          <w:szCs w:val="24"/>
        </w:rPr>
        <w:t>price book value</w:t>
      </w:r>
      <w:r>
        <w:rPr>
          <w:rFonts w:ascii="Times New Roman" w:hAnsi="Times New Roman" w:cs="Times New Roman"/>
          <w:sz w:val="24"/>
          <w:szCs w:val="24"/>
        </w:rPr>
        <w:t xml:space="preserve"> tidak mencari nilai </w:t>
      </w:r>
      <w:r>
        <w:rPr>
          <w:rFonts w:ascii="Times New Roman" w:hAnsi="Times New Roman" w:cs="Times New Roman"/>
          <w:i/>
          <w:sz w:val="24"/>
          <w:szCs w:val="24"/>
        </w:rPr>
        <w:t xml:space="preserve">intrinsic </w:t>
      </w:r>
      <w:r>
        <w:rPr>
          <w:rFonts w:ascii="Times New Roman" w:hAnsi="Times New Roman" w:cs="Times New Roman"/>
          <w:sz w:val="24"/>
          <w:szCs w:val="24"/>
        </w:rPr>
        <w:t xml:space="preserve">dari saham yang di teliti, melainkan menghitung nilai PBV kemudian mengukur harga saham mahal atau murah dengan </w:t>
      </w:r>
      <w:r>
        <w:rPr>
          <w:rFonts w:ascii="Times New Roman" w:hAnsi="Times New Roman" w:cs="Times New Roman"/>
          <w:i/>
          <w:sz w:val="24"/>
          <w:szCs w:val="24"/>
        </w:rPr>
        <w:t>cut off</w:t>
      </w:r>
      <w:r>
        <w:rPr>
          <w:rFonts w:ascii="Times New Roman" w:hAnsi="Times New Roman" w:cs="Times New Roman"/>
          <w:sz w:val="24"/>
          <w:szCs w:val="24"/>
        </w:rPr>
        <w:t xml:space="preserve"> 1 yang berarti jika nilai PBV diatas 1 menunjukkan bahwa nilai pasar lebih besar dari nilai bukunya (overvalued), sebaliknya jika nilai PBV dibawah 1 berarti nilai pasar saham lebih kecil dari nilai bukunya (undervalued). </w:t>
      </w:r>
    </w:p>
    <w:p>
      <w:pPr>
        <w:tabs>
          <w:tab w:val="left" w:pos="90"/>
          <w:tab w:val="left" w:pos="720"/>
        </w:tabs>
        <w:ind w:firstLine="0"/>
        <w:rPr>
          <w:rFonts w:ascii="Times New Roman" w:hAnsi="Times New Roman" w:cs="Times New Roman"/>
          <w:sz w:val="24"/>
          <w:szCs w:val="24"/>
        </w:rPr>
      </w:pPr>
      <w:r>
        <w:rPr>
          <w:rFonts w:ascii="Times New Roman" w:hAnsi="Times New Roman" w:cs="Times New Roman"/>
          <w:i/>
          <w:sz w:val="24"/>
          <w:szCs w:val="24"/>
        </w:rPr>
        <w:t>2. Price Earning Ratio</w:t>
      </w:r>
      <w:r>
        <w:rPr>
          <w:rFonts w:ascii="Times New Roman" w:hAnsi="Times New Roman" w:cs="Times New Roman"/>
          <w:sz w:val="24"/>
          <w:szCs w:val="24"/>
        </w:rPr>
        <w:t xml:space="preserve"> (PER)</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Rasio ini mengukur seberapa besar perbandingan antara harga saham perusahaan dengan keuntungan yang akan diperoleh oeh para investor.</w:t>
      </w:r>
    </w:p>
    <w:p>
      <w:pPr>
        <w:tabs>
          <w:tab w:val="left" w:pos="8550"/>
        </w:tabs>
        <w:ind w:firstLine="0"/>
        <w:rPr>
          <w:rFonts w:ascii="Times New Roman" w:hAnsi="Times New Roman" w:cs="Times New Roman"/>
          <w:sz w:val="24"/>
          <w:szCs w:val="24"/>
        </w:rPr>
      </w:pPr>
      <w:r>
        <w:rPr>
          <w:rFonts w:ascii="Times New Roman" w:hAnsi="Times New Roman" w:cs="Times New Roman"/>
          <w:i/>
          <w:sz w:val="24"/>
          <w:szCs w:val="24"/>
          <w:lang w:eastAsia="zh-TW"/>
        </w:rPr>
        <w:pict>
          <v:shape id="_x0000_s1145" o:spid="_x0000_s1145" o:spt="202" type="#_x0000_t202" style="position:absolute;left:0pt;margin-left:133.75pt;margin-top:17.5pt;height:61.5pt;width:131.25pt;z-index:251692032;mso-width-relative:margin;mso-height-relative:margin;" coordsize="21600,21600">
            <v:path/>
            <v:fill focussize="0,0"/>
            <v:stroke joinstyle="miter"/>
            <v:imagedata o:title=""/>
            <o:lock v:ext="edit"/>
            <v:textbox>
              <w:txbxContent>
                <w:p>
                  <w:pPr>
                    <w:tabs>
                      <w:tab w:val="left" w:pos="720"/>
                    </w:tabs>
                    <w:spacing w:before="240"/>
                    <w:ind w:firstLine="0"/>
                    <w:jc w:val="center"/>
                    <w:rPr>
                      <w:rFonts w:ascii="Times New Roman" w:hAnsi="Times New Roman" w:cs="Times New Roman" w:eastAsiaTheme="minorEastAsia"/>
                      <w:sz w:val="36"/>
                      <w:szCs w:val="36"/>
                    </w:rPr>
                  </w:pPr>
                  <w:r>
                    <w:rPr>
                      <w:rFonts w:ascii="Times New Roman" w:hAnsi="Times New Roman" w:cs="Times New Roman" w:eastAsiaTheme="minorEastAsia"/>
                      <w:sz w:val="36"/>
                      <w:szCs w:val="36"/>
                    </w:rPr>
                    <w:t xml:space="preserve">PER  = </w:t>
                  </w:r>
                  <m:oMath>
                    <m:f>
                      <m:fPr>
                        <m:ctrlPr>
                          <w:rPr>
                            <w:rFonts w:ascii="Cambria Math" w:hAnsi="Times New Roman" w:cs="Times New Roman"/>
                            <w:sz w:val="36"/>
                            <w:szCs w:val="36"/>
                          </w:rPr>
                        </m:ctrlPr>
                      </m:fPr>
                      <m:num>
                        <m:r>
                          <m:rPr>
                            <m:sty m:val="p"/>
                          </m:rPr>
                          <w:rPr>
                            <w:rFonts w:ascii="Cambria Math" w:hAnsi="Times New Roman" w:cs="Times New Roman"/>
                            <w:sz w:val="36"/>
                            <w:szCs w:val="36"/>
                          </w:rPr>
                          <m:t>MPS</m:t>
                        </m:r>
                        <m:ctrlPr>
                          <w:rPr>
                            <w:rFonts w:ascii="Cambria Math" w:hAnsi="Times New Roman" w:cs="Times New Roman"/>
                            <w:sz w:val="36"/>
                            <w:szCs w:val="36"/>
                          </w:rPr>
                        </m:ctrlPr>
                      </m:num>
                      <m:den>
                        <m:r>
                          <m:rPr>
                            <m:sty m:val="p"/>
                          </m:rPr>
                          <w:rPr>
                            <w:rFonts w:ascii="Cambria Math" w:hAnsi="Times New Roman" w:cs="Times New Roman"/>
                            <w:sz w:val="36"/>
                            <w:szCs w:val="36"/>
                          </w:rPr>
                          <m:t xml:space="preserve">EPS </m:t>
                        </m:r>
                        <m:ctrlPr>
                          <w:rPr>
                            <w:rFonts w:ascii="Cambria Math" w:hAnsi="Times New Roman" w:cs="Times New Roman"/>
                            <w:sz w:val="36"/>
                            <w:szCs w:val="36"/>
                          </w:rPr>
                        </m:ctrlPr>
                      </m:den>
                    </m:f>
                  </m:oMath>
                </w:p>
                <w:p/>
              </w:txbxContent>
            </v:textbox>
          </v:shape>
        </w:pict>
      </w:r>
      <w:r>
        <w:rPr>
          <w:rFonts w:ascii="Times New Roman" w:hAnsi="Times New Roman" w:cs="Times New Roman"/>
          <w:sz w:val="24"/>
          <w:szCs w:val="24"/>
        </w:rPr>
        <w:t>Nilai perusahaan dapat diperoleh dengan cara:</w:t>
      </w:r>
    </w:p>
    <w:p>
      <w:pPr>
        <w:tabs>
          <w:tab w:val="left" w:pos="8550"/>
        </w:tabs>
        <w:ind w:firstLine="0"/>
        <w:rPr>
          <w:rFonts w:ascii="Times New Roman" w:hAnsi="Times New Roman" w:cs="Times New Roman"/>
          <w:i/>
          <w:sz w:val="24"/>
          <w:szCs w:val="24"/>
        </w:rPr>
      </w:pPr>
    </w:p>
    <w:p>
      <w:pPr>
        <w:tabs>
          <w:tab w:val="left" w:pos="8550"/>
        </w:tabs>
        <w:ind w:firstLine="0"/>
        <w:jc w:val="center"/>
        <w:rPr>
          <w:rFonts w:ascii="Times New Roman" w:hAnsi="Times New Roman" w:cs="Times New Roman"/>
          <w:i/>
          <w:sz w:val="24"/>
          <w:szCs w:val="24"/>
        </w:rPr>
      </w:pPr>
    </w:p>
    <w:p>
      <w:pPr>
        <w:tabs>
          <w:tab w:val="left" w:pos="8550"/>
        </w:tabs>
        <w:ind w:firstLine="0"/>
        <w:jc w:val="center"/>
        <w:rPr>
          <w:rFonts w:ascii="Times New Roman" w:hAnsi="Times New Roman" w:cs="Times New Roman"/>
          <w:i/>
          <w:sz w:val="24"/>
          <w:szCs w:val="24"/>
        </w:rPr>
      </w:pPr>
      <w:r>
        <w:rPr>
          <w:rFonts w:ascii="Times New Roman" w:hAnsi="Times New Roman" w:cs="Times New Roman"/>
          <w:i/>
          <w:sz w:val="24"/>
          <w:szCs w:val="24"/>
        </w:rPr>
        <w:t xml:space="preserve">Sumber : </w:t>
      </w:r>
      <w:sdt>
        <w:sdtPr>
          <w:rPr>
            <w:rFonts w:ascii="Times New Roman" w:hAnsi="Times New Roman" w:cs="Times New Roman"/>
            <w:i/>
            <w:sz w:val="24"/>
            <w:szCs w:val="24"/>
          </w:rPr>
          <w:id w:val="1033826669"/>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Son19 \l 1033 </w:instrText>
          </w:r>
          <w:r>
            <w:rPr>
              <w:rFonts w:ascii="Times New Roman" w:hAnsi="Times New Roman" w:cs="Times New Roman"/>
              <w:i/>
              <w:sz w:val="24"/>
              <w:szCs w:val="24"/>
            </w:rPr>
            <w:fldChar w:fldCharType="separate"/>
          </w:r>
          <w:r>
            <w:rPr>
              <w:rFonts w:ascii="Times New Roman" w:hAnsi="Times New Roman" w:cs="Times New Roman"/>
              <w:sz w:val="24"/>
              <w:szCs w:val="24"/>
            </w:rPr>
            <w:t>(Sondakh &amp; Morasa, 2019)</w:t>
          </w:r>
          <w:r>
            <w:rPr>
              <w:rFonts w:ascii="Times New Roman" w:hAnsi="Times New Roman" w:cs="Times New Roman"/>
              <w:i/>
              <w:sz w:val="24"/>
              <w:szCs w:val="24"/>
            </w:rPr>
            <w:fldChar w:fldCharType="end"/>
          </w:r>
        </w:sdtContent>
      </w:sdt>
    </w:p>
    <w:p>
      <w:pPr>
        <w:tabs>
          <w:tab w:val="left" w:pos="8550"/>
        </w:tabs>
        <w:ind w:firstLine="0"/>
        <w:rPr>
          <w:rFonts w:ascii="Times New Roman" w:hAnsi="Times New Roman" w:cs="Times New Roman"/>
          <w:sz w:val="24"/>
          <w:szCs w:val="24"/>
        </w:rPr>
      </w:pPr>
      <w:r>
        <w:rPr>
          <w:rFonts w:ascii="Times New Roman" w:hAnsi="Times New Roman" w:cs="Times New Roman"/>
          <w:sz w:val="24"/>
          <w:szCs w:val="24"/>
        </w:rPr>
        <w:t>Keterangan :</w:t>
      </w:r>
    </w:p>
    <w:p>
      <w:pPr>
        <w:tabs>
          <w:tab w:val="left" w:pos="8550"/>
        </w:tabs>
        <w:rPr>
          <w:rFonts w:ascii="Times New Roman" w:hAnsi="Times New Roman" w:cs="Times New Roman"/>
          <w:sz w:val="24"/>
          <w:szCs w:val="24"/>
        </w:rPr>
      </w:pPr>
      <w:r>
        <w:rPr>
          <w:rFonts w:ascii="Times New Roman" w:hAnsi="Times New Roman" w:cs="Times New Roman"/>
          <w:sz w:val="24"/>
          <w:szCs w:val="24"/>
        </w:rPr>
        <w:t xml:space="preserve">PER : </w:t>
      </w:r>
      <w:r>
        <w:rPr>
          <w:rFonts w:ascii="Times New Roman" w:hAnsi="Times New Roman" w:cs="Times New Roman"/>
          <w:i/>
          <w:sz w:val="24"/>
          <w:szCs w:val="24"/>
        </w:rPr>
        <w:t>Price Earning Ratio</w:t>
      </w:r>
    </w:p>
    <w:p>
      <w:pPr>
        <w:tabs>
          <w:tab w:val="left" w:pos="8550"/>
        </w:tabs>
        <w:rPr>
          <w:rFonts w:ascii="Times New Roman" w:hAnsi="Times New Roman" w:cs="Times New Roman"/>
          <w:sz w:val="24"/>
          <w:szCs w:val="24"/>
        </w:rPr>
      </w:pPr>
      <w:r>
        <w:rPr>
          <w:rFonts w:ascii="Times New Roman" w:hAnsi="Times New Roman" w:cs="Times New Roman"/>
          <w:sz w:val="24"/>
          <w:szCs w:val="24"/>
        </w:rPr>
        <w:t xml:space="preserve">MPS : </w:t>
      </w:r>
      <w:r>
        <w:rPr>
          <w:rFonts w:ascii="Times New Roman" w:hAnsi="Times New Roman" w:cs="Times New Roman"/>
          <w:i/>
          <w:sz w:val="24"/>
          <w:szCs w:val="24"/>
        </w:rPr>
        <w:t>Market Price Per Sahre</w:t>
      </w:r>
      <w:r>
        <w:rPr>
          <w:rFonts w:ascii="Times New Roman" w:hAnsi="Times New Roman" w:cs="Times New Roman"/>
          <w:sz w:val="24"/>
          <w:szCs w:val="24"/>
        </w:rPr>
        <w:t xml:space="preserve"> atau Harga pasar per saham</w:t>
      </w:r>
    </w:p>
    <w:p>
      <w:pPr>
        <w:tabs>
          <w:tab w:val="left" w:pos="8550"/>
        </w:tabs>
        <w:rPr>
          <w:rFonts w:ascii="Times New Roman" w:hAnsi="Times New Roman" w:cs="Times New Roman"/>
          <w:sz w:val="24"/>
          <w:szCs w:val="24"/>
        </w:rPr>
      </w:pPr>
      <w:r>
        <w:rPr>
          <w:rFonts w:ascii="Times New Roman" w:hAnsi="Times New Roman" w:cs="Times New Roman"/>
          <w:sz w:val="24"/>
          <w:szCs w:val="24"/>
        </w:rPr>
        <w:t xml:space="preserve">EPS : </w:t>
      </w:r>
      <w:r>
        <w:rPr>
          <w:rFonts w:ascii="Times New Roman" w:hAnsi="Times New Roman" w:cs="Times New Roman"/>
          <w:i/>
          <w:sz w:val="24"/>
          <w:szCs w:val="24"/>
        </w:rPr>
        <w:t>Earning Per Share</w:t>
      </w:r>
      <w:r>
        <w:rPr>
          <w:rFonts w:ascii="Times New Roman" w:hAnsi="Times New Roman" w:cs="Times New Roman"/>
          <w:sz w:val="24"/>
          <w:szCs w:val="24"/>
        </w:rPr>
        <w:t xml:space="preserve"> atau Laba Per saham</w:t>
      </w:r>
    </w:p>
    <w:p>
      <w:pPr>
        <w:tabs>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Standar </w:t>
      </w:r>
      <w:r>
        <w:rPr>
          <w:rFonts w:ascii="Times New Roman" w:hAnsi="Times New Roman" w:cs="Times New Roman"/>
          <w:i/>
          <w:sz w:val="24"/>
          <w:szCs w:val="24"/>
        </w:rPr>
        <w:t xml:space="preserve">Ratio </w:t>
      </w:r>
      <w:r>
        <w:rPr>
          <w:rFonts w:ascii="Times New Roman" w:hAnsi="Times New Roman" w:cs="Times New Roman"/>
          <w:sz w:val="24"/>
          <w:szCs w:val="24"/>
        </w:rPr>
        <w:t xml:space="preserve">(PER) </w:t>
      </w:r>
      <w:r>
        <w:rPr>
          <w:rFonts w:ascii="Times New Roman" w:hAnsi="Times New Roman" w:cs="Times New Roman"/>
          <w:i/>
          <w:sz w:val="24"/>
          <w:szCs w:val="24"/>
        </w:rPr>
        <w:t>Price Earning Ratio</w:t>
      </w:r>
      <w:r>
        <w:rPr>
          <w:rFonts w:ascii="Times New Roman" w:hAnsi="Times New Roman" w:cs="Times New Roman"/>
          <w:sz w:val="24"/>
          <w:szCs w:val="24"/>
        </w:rPr>
        <w:t xml:space="preserve">atau rasio harga laba : bagi para investor semakin tinggi nilai </w:t>
      </w:r>
      <w:r>
        <w:rPr>
          <w:rFonts w:ascii="Times New Roman" w:hAnsi="Times New Roman" w:cs="Times New Roman"/>
          <w:i/>
          <w:sz w:val="24"/>
          <w:szCs w:val="24"/>
        </w:rPr>
        <w:t xml:space="preserve">Price Earning Ratio </w:t>
      </w:r>
      <w:r>
        <w:rPr>
          <w:rFonts w:ascii="Times New Roman" w:hAnsi="Times New Roman" w:cs="Times New Roman"/>
          <w:sz w:val="24"/>
          <w:szCs w:val="24"/>
        </w:rPr>
        <w:t xml:space="preserve">maka pertumbuhan laba yang diharapkan akan mengalami kenaikan sehingga </w:t>
      </w:r>
      <w:r>
        <w:rPr>
          <w:rFonts w:ascii="Times New Roman" w:hAnsi="Times New Roman" w:cs="Times New Roman"/>
          <w:i/>
          <w:sz w:val="24"/>
          <w:szCs w:val="24"/>
        </w:rPr>
        <w:t>investor</w:t>
      </w:r>
      <w:r>
        <w:rPr>
          <w:rFonts w:ascii="Times New Roman" w:hAnsi="Times New Roman" w:cs="Times New Roman"/>
          <w:sz w:val="24"/>
          <w:szCs w:val="24"/>
        </w:rPr>
        <w:t xml:space="preserve"> akan melakukan investasi. </w:t>
      </w:r>
    </w:p>
    <w:p>
      <w:pPr>
        <w:tabs>
          <w:tab w:val="left" w:pos="90"/>
          <w:tab w:val="left" w:pos="720"/>
        </w:tabs>
        <w:ind w:firstLine="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Tobins’s</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Menurut Rosikah, et al (2018) </w:t>
      </w:r>
      <w:r>
        <w:rPr>
          <w:rFonts w:ascii="Times New Roman" w:hAnsi="Times New Roman" w:cs="Times New Roman"/>
          <w:i/>
          <w:sz w:val="24"/>
          <w:szCs w:val="24"/>
        </w:rPr>
        <w:t xml:space="preserve">Tobin’sQ </w:t>
      </w:r>
      <w:r>
        <w:rPr>
          <w:rFonts w:ascii="Times New Roman" w:hAnsi="Times New Roman" w:cs="Times New Roman"/>
          <w:sz w:val="24"/>
          <w:szCs w:val="24"/>
        </w:rPr>
        <w:t>merupakan nilai pasar dari suatu perusahaan dengan membandingkan nilai pasardengan nilai penggantian aset perusahaan. Nilai perusahaan dapat diperoleh dengan cara :</w:t>
      </w:r>
    </w:p>
    <w:p>
      <w:pPr>
        <w:tabs>
          <w:tab w:val="left" w:pos="90"/>
          <w:tab w:val="left" w:pos="720"/>
        </w:tabs>
        <w:ind w:firstLine="720"/>
        <w:rPr>
          <w:rFonts w:ascii="Times New Roman" w:hAnsi="Times New Roman" w:cs="Times New Roman"/>
          <w:sz w:val="24"/>
          <w:szCs w:val="24"/>
        </w:rPr>
      </w:pP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pict>
          <v:shape id="_x0000_s1146" o:spid="_x0000_s1146" o:spt="202" type="#_x0000_t202" style="position:absolute;left:0pt;margin-left:135.95pt;margin-top:3.45pt;height:51.15pt;width:111pt;z-index:251693056;mso-width-relative:margin;mso-height-relative:margin;" coordsize="21600,21600">
            <v:path/>
            <v:fill focussize="0,0"/>
            <v:stroke joinstyle="miter"/>
            <v:imagedata o:title=""/>
            <o:lock v:ext="edit"/>
            <v:textbox>
              <w:txbxContent>
                <w:p>
                  <w:pPr>
                    <w:tabs>
                      <w:tab w:val="left" w:pos="90"/>
                      <w:tab w:val="left" w:pos="720"/>
                    </w:tabs>
                    <w:ind w:firstLine="0"/>
                    <w:rPr>
                      <w:rFonts w:ascii="Times New Roman" w:hAnsi="Times New Roman" w:cs="Times New Roman" w:eastAsiaTheme="minorEastAsia"/>
                      <w:sz w:val="36"/>
                      <w:szCs w:val="36"/>
                    </w:rPr>
                  </w:pPr>
                  <w:r>
                    <w:rPr>
                      <w:rFonts w:ascii="Times New Roman" w:hAnsi="Times New Roman" w:cs="Times New Roman"/>
                      <w:sz w:val="36"/>
                      <w:szCs w:val="36"/>
                    </w:rPr>
                    <w:t xml:space="preserve">Q = </w:t>
                  </w:r>
                  <m:oMath>
                    <m:f>
                      <m:fPr>
                        <m:ctrlPr>
                          <w:rPr>
                            <w:rFonts w:ascii="Cambria Math" w:hAnsi="Times New Roman" w:cs="Times New Roman"/>
                            <w:sz w:val="36"/>
                            <w:szCs w:val="36"/>
                          </w:rPr>
                        </m:ctrlPr>
                      </m:fPr>
                      <m:num>
                        <m:r>
                          <m:rPr>
                            <m:sty m:val="p"/>
                          </m:rPr>
                          <w:rPr>
                            <w:rFonts w:ascii="Cambria Math" w:hAnsi="Times New Roman" w:cs="Times New Roman"/>
                            <w:sz w:val="36"/>
                            <w:szCs w:val="36"/>
                          </w:rPr>
                          <m:t>MVE+D</m:t>
                        </m:r>
                        <m:ctrlPr>
                          <w:rPr>
                            <w:rFonts w:ascii="Cambria Math" w:hAnsi="Times New Roman" w:cs="Times New Roman"/>
                            <w:sz w:val="36"/>
                            <w:szCs w:val="36"/>
                          </w:rPr>
                        </m:ctrlPr>
                      </m:num>
                      <m:den>
                        <m:r>
                          <m:rPr>
                            <m:sty m:val="p"/>
                          </m:rPr>
                          <w:rPr>
                            <w:rFonts w:ascii="Cambria Math" w:hAnsi="Times New Roman" w:cs="Times New Roman"/>
                            <w:sz w:val="36"/>
                            <w:szCs w:val="36"/>
                          </w:rPr>
                          <m:t xml:space="preserve">EBV+D </m:t>
                        </m:r>
                        <m:ctrlPr>
                          <w:rPr>
                            <w:rFonts w:ascii="Cambria Math" w:hAnsi="Times New Roman" w:cs="Times New Roman"/>
                            <w:sz w:val="36"/>
                            <w:szCs w:val="36"/>
                          </w:rPr>
                        </m:ctrlPr>
                      </m:den>
                    </m:f>
                  </m:oMath>
                </w:p>
                <w:p/>
              </w:txbxContent>
            </v:textbox>
          </v:shape>
        </w:pict>
      </w:r>
    </w:p>
    <w:p>
      <w:pPr>
        <w:tabs>
          <w:tab w:val="left" w:pos="90"/>
          <w:tab w:val="left" w:pos="720"/>
        </w:tabs>
        <w:ind w:firstLine="0"/>
        <w:rPr>
          <w:rFonts w:ascii="Times New Roman" w:hAnsi="Times New Roman" w:cs="Times New Roman" w:eastAsiaTheme="minorEastAsia"/>
          <w:i/>
          <w:sz w:val="24"/>
          <w:szCs w:val="24"/>
        </w:rPr>
      </w:pPr>
    </w:p>
    <w:p>
      <w:pPr>
        <w:tabs>
          <w:tab w:val="left" w:pos="90"/>
          <w:tab w:val="left" w:pos="720"/>
        </w:tabs>
        <w:ind w:firstLine="0"/>
        <w:jc w:val="center"/>
        <w:rPr>
          <w:rFonts w:ascii="Times New Roman" w:hAnsi="Times New Roman" w:cs="Times New Roman" w:eastAsiaTheme="minorEastAsia"/>
          <w:i/>
          <w:sz w:val="24"/>
          <w:szCs w:val="24"/>
        </w:rPr>
      </w:pPr>
      <w:r>
        <w:rPr>
          <w:rFonts w:ascii="Times New Roman" w:hAnsi="Times New Roman" w:cs="Times New Roman" w:eastAsiaTheme="minorEastAsia"/>
          <w:i/>
          <w:sz w:val="24"/>
          <w:szCs w:val="24"/>
        </w:rPr>
        <w:t>sumber : Mahmoud Ibrahim (2018)</w:t>
      </w:r>
    </w:p>
    <w:p>
      <w:pPr>
        <w:tabs>
          <w:tab w:val="left" w:pos="90"/>
          <w:tab w:val="left" w:pos="720"/>
        </w:tabs>
        <w:ind w:firstLine="0"/>
        <w:rPr>
          <w:rFonts w:ascii="Times New Roman" w:hAnsi="Times New Roman" w:cs="Times New Roman" w:eastAsiaTheme="minorEastAsia"/>
          <w:sz w:val="24"/>
          <w:szCs w:val="24"/>
        </w:rPr>
      </w:pPr>
      <w:r>
        <w:rPr>
          <w:rFonts w:ascii="Times New Roman" w:hAnsi="Times New Roman" w:cs="Times New Roman" w:eastAsiaTheme="minorEastAsia"/>
          <w:sz w:val="24"/>
          <w:szCs w:val="24"/>
        </w:rPr>
        <w:t>keterangan :</w:t>
      </w:r>
    </w:p>
    <w:p>
      <w:pPr>
        <w:tabs>
          <w:tab w:val="left" w:pos="90"/>
          <w:tab w:val="left" w:pos="720"/>
        </w:tabs>
        <w:rPr>
          <w:rFonts w:ascii="Times New Roman" w:hAnsi="Times New Roman" w:cs="Times New Roman" w:eastAsiaTheme="minorEastAsia"/>
          <w:sz w:val="24"/>
          <w:szCs w:val="24"/>
        </w:rPr>
      </w:pPr>
      <w:r>
        <w:rPr>
          <w:rFonts w:ascii="Times New Roman" w:hAnsi="Times New Roman" w:eastAsia="Times New Roman" w:cs="Times New Roman"/>
          <w:sz w:val="24"/>
          <w:szCs w:val="24"/>
        </w:rPr>
        <w:t>Q      : nilai perseroan/perusahaan</w:t>
      </w:r>
    </w:p>
    <w:p>
      <w:pPr>
        <w:tabs>
          <w:tab w:val="left" w:pos="90"/>
          <w:tab w:val="left" w:pos="720"/>
        </w:tabs>
        <w:rPr>
          <w:rFonts w:ascii="Times New Roman" w:hAnsi="Times New Roman" w:eastAsia="Times New Roman" w:cs="Times New Roman"/>
          <w:sz w:val="24"/>
          <w:szCs w:val="24"/>
        </w:rPr>
      </w:pPr>
      <w:r>
        <w:rPr>
          <w:rFonts w:ascii="Times New Roman" w:hAnsi="Times New Roman" w:eastAsia="Times New Roman" w:cs="Times New Roman"/>
          <w:sz w:val="24"/>
          <w:szCs w:val="24"/>
        </w:rPr>
        <w:t>D      : nilai buku dari jumlah hutang</w:t>
      </w:r>
    </w:p>
    <w:p>
      <w:pPr>
        <w:tabs>
          <w:tab w:val="left" w:pos="90"/>
          <w:tab w:val="left" w:pos="720"/>
        </w:tabs>
        <w:rPr>
          <w:rFonts w:ascii="Times New Roman" w:hAnsi="Times New Roman" w:eastAsia="Times New Roman" w:cs="Times New Roman"/>
          <w:sz w:val="24"/>
          <w:szCs w:val="24"/>
        </w:rPr>
      </w:pPr>
      <w:r>
        <w:rPr>
          <w:rFonts w:ascii="Times New Roman" w:hAnsi="Times New Roman" w:eastAsia="Times New Roman" w:cs="Times New Roman"/>
          <w:sz w:val="24"/>
          <w:szCs w:val="24"/>
        </w:rPr>
        <w:t>EBV : nilai akutansi dari jumlah neraca atau didapat dari selisih jumlah asset</w:t>
      </w:r>
    </w:p>
    <w:p>
      <w:pPr>
        <w:tabs>
          <w:tab w:val="left" w:pos="90"/>
          <w:tab w:val="left" w:pos="720"/>
        </w:tabs>
        <w:rPr>
          <w:rFonts w:ascii="Times New Roman" w:hAnsi="Times New Roman" w:cs="Times New Roman"/>
          <w:sz w:val="24"/>
          <w:szCs w:val="24"/>
        </w:rPr>
      </w:pPr>
      <w:r>
        <w:rPr>
          <w:rFonts w:ascii="Times New Roman" w:hAnsi="Times New Roman" w:eastAsia="Times New Roman" w:cs="Times New Roman"/>
          <w:sz w:val="24"/>
          <w:szCs w:val="24"/>
        </w:rPr>
        <w:t xml:space="preserve">MVE : </w:t>
      </w:r>
      <w:r>
        <w:rPr>
          <w:rFonts w:ascii="Times New Roman" w:hAnsi="Times New Roman" w:cs="Times New Roman"/>
          <w:sz w:val="24"/>
          <w:szCs w:val="24"/>
        </w:rPr>
        <w:t xml:space="preserve">(nilai pasar ekuitas): </w:t>
      </w:r>
      <w:r>
        <w:rPr>
          <w:rFonts w:ascii="Times New Roman" w:hAnsi="Times New Roman" w:cs="Times New Roman"/>
          <w:i/>
          <w:sz w:val="24"/>
          <w:szCs w:val="24"/>
        </w:rPr>
        <w:t>closing price</w:t>
      </w:r>
      <w:r>
        <w:rPr>
          <w:rFonts w:ascii="Times New Roman" w:hAnsi="Times New Roman" w:cs="Times New Roman"/>
          <w:sz w:val="24"/>
          <w:szCs w:val="24"/>
        </w:rPr>
        <w:t>saham x jumlah saham yang beredar</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jika nilai pasar tercermin semata-mata oleh aset perusahaan, maka Tobin’s Q bernilai 1,0.Jika Tobin’s Q lebih besar dari 1,0, maka ilai pasar lebih besar dari nilai aset perusahaan yang tercatat, hal ini menunjukkan bahwa nilai pasar mencerminkan beberapa aset yang tidak terukur atau tidak dicatat perusahaan. Tingginya nilai Tobin’s Q mendorong perusahaan untuk berinvestasi lebih banyak dalam modal.</w:t>
      </w:r>
    </w:p>
    <w:p>
      <w:pPr>
        <w:ind w:firstLine="720"/>
        <w:rPr>
          <w:rFonts w:ascii="Times New Roman" w:hAnsi="Times New Roman" w:cs="Times New Roman"/>
          <w:sz w:val="24"/>
          <w:szCs w:val="24"/>
        </w:rPr>
      </w:pPr>
      <w:r>
        <w:rPr>
          <w:rFonts w:ascii="Times New Roman" w:hAnsi="Times New Roman" w:cs="Times New Roman"/>
          <w:sz w:val="24"/>
          <w:szCs w:val="24"/>
        </w:rPr>
        <w:t>Nilai perusahaan dalam penelitian ini diukur dengan menggunakan price to book ratio (PBV). Dalam penelitian ini penulis memilih price book value (PBV) sebagai indikator nilai perusahaan, karena price book value banyak digunakan dalam pengambilan keputusan investasi. Selain itu, PBV juga memiliki banyak keunggulan yaitu nilai buku merupakan metode yang stabil dan sederhana yang dapat dibandingkan dengan harga pasar. Keuntungan kedua adalah bahwa PBV antara perusahaan sejenis dapat dibandingkan untuk menunjukkan tanda-tanda harga tinggi / rendah saham. Rasio ini dapat memberikan gambaran tentang potensi perubahan harga saham, sehingga menurut gambaran tersebut rasio PBV ini juga secara tidak langsung mempengaruhi harga saham..</w:t>
      </w:r>
    </w:p>
    <w:p>
      <w:pPr>
        <w:ind w:firstLine="720"/>
        <w:rPr>
          <w:rFonts w:ascii="Times New Roman" w:hAnsi="Times New Roman" w:cs="Times New Roman"/>
          <w:sz w:val="24"/>
          <w:szCs w:val="24"/>
        </w:rPr>
      </w:pPr>
      <w:r>
        <w:rPr>
          <w:rFonts w:ascii="Times New Roman" w:hAnsi="Times New Roman" w:cs="Times New Roman"/>
          <w:sz w:val="24"/>
          <w:szCs w:val="24"/>
        </w:rPr>
        <w:t xml:space="preserve">Penelitian Terdahulu yang menggunakan indicator PBV adalah Penelitian yang dilakukan </w:t>
      </w:r>
      <w:sdt>
        <w:sdtPr>
          <w:rPr>
            <w:rFonts w:ascii="Times New Roman" w:hAnsi="Times New Roman" w:cs="Times New Roman"/>
            <w:sz w:val="24"/>
            <w:szCs w:val="24"/>
          </w:rPr>
          <w:id w:val="492971435"/>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Kho20 \l 1033  </w:instrText>
          </w:r>
          <w:r>
            <w:rPr>
              <w:rFonts w:ascii="Times New Roman" w:hAnsi="Times New Roman" w:cs="Times New Roman"/>
              <w:sz w:val="24"/>
              <w:szCs w:val="24"/>
            </w:rPr>
            <w:fldChar w:fldCharType="separate"/>
          </w:r>
          <w:r>
            <w:rPr>
              <w:rFonts w:ascii="Times New Roman" w:hAnsi="Times New Roman" w:cs="Times New Roman"/>
              <w:sz w:val="24"/>
              <w:szCs w:val="24"/>
            </w:rPr>
            <w:t>(Khoeriyah,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pada perusahaan pertambangan yang terdaftar di Bursa Efek Indonesia, tentang “ </w:t>
      </w:r>
      <w:r>
        <w:rPr>
          <w:rFonts w:ascii="Times New Roman" w:hAnsi="Times New Roman" w:cs="Times New Roman"/>
          <w:i/>
          <w:sz w:val="24"/>
          <w:szCs w:val="24"/>
        </w:rPr>
        <w:t>Pengaruh Size, Leverage, Sales Growth</w:t>
      </w:r>
      <w:r>
        <w:rPr>
          <w:rFonts w:ascii="Times New Roman" w:hAnsi="Times New Roman" w:cs="Times New Roman"/>
          <w:sz w:val="24"/>
          <w:szCs w:val="24"/>
        </w:rPr>
        <w:t xml:space="preserve"> Dan IOS  Terhadap Nilai Perusahaan”penelitian yang dilakukan </w:t>
      </w:r>
      <w:sdt>
        <w:sdtPr>
          <w:rPr>
            <w:rFonts w:ascii="Times New Roman" w:hAnsi="Times New Roman" w:cs="Times New Roman"/>
            <w:sz w:val="24"/>
            <w:szCs w:val="24"/>
          </w:rPr>
          <w:id w:val="49297143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Gin20 \l 1033 </w:instrText>
          </w:r>
          <w:r>
            <w:rPr>
              <w:rFonts w:ascii="Times New Roman" w:hAnsi="Times New Roman" w:cs="Times New Roman"/>
              <w:sz w:val="24"/>
              <w:szCs w:val="24"/>
            </w:rPr>
            <w:fldChar w:fldCharType="separate"/>
          </w:r>
          <w:r>
            <w:rPr>
              <w:rFonts w:ascii="Times New Roman" w:hAnsi="Times New Roman" w:cs="Times New Roman"/>
              <w:sz w:val="24"/>
              <w:szCs w:val="24"/>
            </w:rPr>
            <w:t>(Ginting &amp; dkk,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pada Bank BUMN tentang” Pengaruh Risiko Bisnis, Risiko Finansial Dan Risiko Pasar Terhadap Nilai Perusahaan”</w:t>
      </w:r>
    </w:p>
    <w:p>
      <w:pPr>
        <w:ind w:left="720" w:hanging="720"/>
        <w:rPr>
          <w:rFonts w:ascii="Times New Roman" w:hAnsi="Times New Roman" w:cs="Times New Roman"/>
          <w:sz w:val="24"/>
          <w:szCs w:val="24"/>
        </w:rPr>
      </w:pPr>
      <w:r>
        <w:rPr>
          <w:rFonts w:ascii="Times New Roman" w:hAnsi="Times New Roman" w:cs="Times New Roman"/>
          <w:b/>
          <w:sz w:val="24"/>
          <w:szCs w:val="24"/>
        </w:rPr>
        <w:t xml:space="preserve">2.1.5 Hubungan antara </w:t>
      </w:r>
      <w:r>
        <w:rPr>
          <w:rFonts w:ascii="Times New Roman" w:hAnsi="Times New Roman" w:cs="Times New Roman"/>
          <w:b/>
          <w:i/>
          <w:sz w:val="24"/>
          <w:szCs w:val="24"/>
        </w:rPr>
        <w:t>Invesment Opportunity Set, Corporate Social Responbility</w:t>
      </w:r>
      <w:r>
        <w:rPr>
          <w:rFonts w:ascii="Times New Roman" w:hAnsi="Times New Roman" w:cs="Times New Roman"/>
          <w:b/>
          <w:sz w:val="24"/>
          <w:szCs w:val="24"/>
        </w:rPr>
        <w:t xml:space="preserve"> dan Risiko Bisnis Terhadap Nilai Perusahaan</w:t>
      </w:r>
    </w:p>
    <w:p>
      <w:pPr>
        <w:ind w:left="720" w:hanging="720"/>
        <w:rPr>
          <w:rFonts w:ascii="Times New Roman" w:hAnsi="Times New Roman" w:cs="Times New Roman"/>
          <w:sz w:val="24"/>
          <w:szCs w:val="24"/>
        </w:rPr>
      </w:pPr>
      <w:r>
        <w:rPr>
          <w:rFonts w:ascii="Times New Roman" w:hAnsi="Times New Roman" w:cs="Times New Roman"/>
          <w:b/>
          <w:sz w:val="24"/>
          <w:szCs w:val="24"/>
        </w:rPr>
        <w:t>2.1.5.1</w:t>
      </w:r>
      <w:r>
        <w:rPr>
          <w:rFonts w:ascii="Times New Roman" w:hAnsi="Times New Roman" w:cs="Times New Roman"/>
          <w:b/>
          <w:sz w:val="24"/>
          <w:szCs w:val="24"/>
        </w:rPr>
        <w:tab/>
      </w:r>
      <w:r>
        <w:rPr>
          <w:rFonts w:ascii="Times New Roman" w:hAnsi="Times New Roman" w:cs="Times New Roman"/>
          <w:b/>
          <w:sz w:val="24"/>
          <w:szCs w:val="24"/>
        </w:rPr>
        <w:t xml:space="preserve">Hubungan Antara </w:t>
      </w:r>
      <w:r>
        <w:rPr>
          <w:rFonts w:ascii="Times New Roman" w:hAnsi="Times New Roman" w:cs="Times New Roman"/>
          <w:b/>
          <w:i/>
          <w:sz w:val="24"/>
          <w:szCs w:val="24"/>
        </w:rPr>
        <w:t>Invesment Opportunity Set</w:t>
      </w:r>
      <w:r>
        <w:rPr>
          <w:rFonts w:ascii="Times New Roman" w:hAnsi="Times New Roman" w:cs="Times New Roman"/>
          <w:b/>
          <w:sz w:val="24"/>
          <w:szCs w:val="24"/>
        </w:rPr>
        <w:t xml:space="preserve"> Dengan Nilai Perusahaan</w:t>
      </w:r>
    </w:p>
    <w:p>
      <w:pPr>
        <w:tabs>
          <w:tab w:val="left" w:pos="720"/>
          <w:tab w:val="left" w:pos="8550"/>
        </w:tabs>
        <w:ind w:firstLine="810"/>
        <w:rPr>
          <w:rFonts w:ascii="Times New Roman" w:hAnsi="Times New Roman" w:cs="Times New Roman"/>
          <w:i/>
          <w:sz w:val="24"/>
          <w:szCs w:val="24"/>
        </w:rPr>
      </w:pPr>
      <w:r>
        <w:rPr>
          <w:rFonts w:ascii="Times New Roman" w:hAnsi="Times New Roman" w:cs="Times New Roman"/>
          <w:sz w:val="24"/>
          <w:szCs w:val="24"/>
        </w:rPr>
        <w:t xml:space="preserve">Nilai perusahaan merupakan faktor yang sangat penting yang dapat menggambarkan prospek suatu perusahaan. Nilai perusahaan dapat menentukan sejauh mana perusahaan dapat memberikan kemakmuran bagi para </w:t>
      </w:r>
      <w:r>
        <w:rPr>
          <w:rFonts w:ascii="Times New Roman" w:hAnsi="Times New Roman" w:cs="Times New Roman"/>
          <w:i/>
          <w:sz w:val="24"/>
          <w:szCs w:val="24"/>
        </w:rPr>
        <w:t>shareholdernya.</w:t>
      </w:r>
      <w:r>
        <w:rPr>
          <w:rFonts w:ascii="Times New Roman" w:hAnsi="Times New Roman" w:cs="Times New Roman"/>
          <w:sz w:val="24"/>
          <w:szCs w:val="24"/>
        </w:rPr>
        <w:t xml:space="preserve"> nilai perusahaan yang tinggi merupakan harapan dari pemilik perusahaan, sebab jika nilai perusahaan tinggi maka kemakmuran para investor juga tinggi. kemakmuran para </w:t>
      </w:r>
      <w:r>
        <w:rPr>
          <w:rFonts w:ascii="Times New Roman" w:hAnsi="Times New Roman" w:cs="Times New Roman"/>
          <w:i/>
          <w:sz w:val="24"/>
          <w:szCs w:val="24"/>
        </w:rPr>
        <w:t xml:space="preserve">shareholder </w:t>
      </w:r>
      <w:r>
        <w:rPr>
          <w:rFonts w:ascii="Times New Roman" w:hAnsi="Times New Roman" w:cs="Times New Roman"/>
          <w:sz w:val="24"/>
          <w:szCs w:val="24"/>
        </w:rPr>
        <w:t xml:space="preserve">perusahaan dipresentasikan oleh harga pasar saham yang merupakan cerminan dari </w:t>
      </w:r>
      <w:r>
        <w:rPr>
          <w:rFonts w:ascii="Times New Roman" w:hAnsi="Times New Roman" w:cs="Times New Roman"/>
          <w:i/>
          <w:sz w:val="24"/>
          <w:szCs w:val="24"/>
        </w:rPr>
        <w:t xml:space="preserve">invesment opportunity set. </w:t>
      </w:r>
    </w:p>
    <w:p>
      <w:pPr>
        <w:tabs>
          <w:tab w:val="left" w:pos="720"/>
          <w:tab w:val="left" w:pos="8550"/>
        </w:tabs>
        <w:ind w:firstLine="810"/>
        <w:rPr>
          <w:rFonts w:ascii="Times New Roman" w:hAnsi="Times New Roman" w:cs="Times New Roman"/>
          <w:i/>
          <w:sz w:val="24"/>
          <w:szCs w:val="24"/>
        </w:rPr>
      </w:pPr>
      <w:r>
        <w:rPr>
          <w:rFonts w:ascii="Times New Roman" w:hAnsi="Times New Roman" w:cs="Times New Roman"/>
          <w:i/>
          <w:sz w:val="24"/>
          <w:szCs w:val="24"/>
        </w:rPr>
        <w:t>Invesment opportunity set</w:t>
      </w:r>
      <w:r>
        <w:rPr>
          <w:rFonts w:ascii="Times New Roman" w:hAnsi="Times New Roman" w:cs="Times New Roman"/>
          <w:sz w:val="24"/>
          <w:szCs w:val="24"/>
        </w:rPr>
        <w:t xml:space="preserve"> merupakan proyeksi nilai perusahaan yang besarnya tergantung pada pengeluaran-pengeluaran yang dilakukan perusahaan dimasa yang akan datang. IOS memberikan gambaran terhadap para investor mengenai sejauh mana perusahaan memberikan jumlah dari </w:t>
      </w:r>
      <w:r>
        <w:rPr>
          <w:rFonts w:ascii="Times New Roman" w:hAnsi="Times New Roman" w:cs="Times New Roman"/>
          <w:i/>
          <w:sz w:val="24"/>
          <w:szCs w:val="24"/>
        </w:rPr>
        <w:t>return</w:t>
      </w:r>
      <w:r>
        <w:rPr>
          <w:rFonts w:ascii="Times New Roman" w:hAnsi="Times New Roman" w:cs="Times New Roman"/>
          <w:sz w:val="24"/>
          <w:szCs w:val="24"/>
        </w:rPr>
        <w:t xml:space="preserve"> saham.  </w:t>
      </w:r>
    </w:p>
    <w:p>
      <w:pPr>
        <w:tabs>
          <w:tab w:val="left" w:pos="720"/>
          <w:tab w:val="left" w:pos="8550"/>
        </w:tabs>
        <w:ind w:firstLine="810"/>
        <w:rPr>
          <w:rFonts w:ascii="Times New Roman" w:hAnsi="Times New Roman" w:cs="Times New Roman"/>
          <w:i/>
          <w:sz w:val="24"/>
          <w:szCs w:val="24"/>
        </w:rPr>
      </w:pPr>
      <w:r>
        <w:rPr>
          <w:rFonts w:ascii="Times New Roman" w:hAnsi="Times New Roman" w:cs="Times New Roman"/>
          <w:sz w:val="24"/>
          <w:szCs w:val="24"/>
        </w:rPr>
        <w:t xml:space="preserve">Penelitian yang dilakukan </w:t>
      </w:r>
      <w:sdt>
        <w:sdtPr>
          <w:rPr>
            <w:rFonts w:ascii="Times New Roman" w:hAnsi="Times New Roman" w:cs="Times New Roman"/>
            <w:sz w:val="24"/>
            <w:szCs w:val="24"/>
          </w:rPr>
          <w:id w:val="79170647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Pra18 \l 1033 </w:instrText>
          </w:r>
          <w:r>
            <w:rPr>
              <w:rFonts w:ascii="Times New Roman" w:hAnsi="Times New Roman" w:cs="Times New Roman"/>
              <w:sz w:val="24"/>
              <w:szCs w:val="24"/>
            </w:rPr>
            <w:fldChar w:fldCharType="separate"/>
          </w:r>
          <w:r>
            <w:rPr>
              <w:rFonts w:ascii="Times New Roman" w:hAnsi="Times New Roman" w:cs="Times New Roman"/>
              <w:sz w:val="24"/>
              <w:szCs w:val="24"/>
            </w:rPr>
            <w:t>(Pratiwi,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yang menyatakan bahwa IOS berpengaruh positif terhadap nilai perusahaan, penelitian ini menunjukkan bahwa Invesment Opportunity Set memberikan sinyal positif tentang pertumbuhan perusahaan di masa yang akan datang, sehingga meningkatkan harga saham sebagai indikator nilai perusahaan. Penelitian ini menunjukkan bahwa perusahaan yang meningkatkan IOS-nya akan memiliki prospek yang bagus di kemudian hari, sehingga berinvestasi pada saham perusahaan tersebut akan menghasilkan </w:t>
      </w:r>
      <w:r>
        <w:rPr>
          <w:rFonts w:ascii="Times New Roman" w:hAnsi="Times New Roman" w:cs="Times New Roman"/>
          <w:i/>
          <w:sz w:val="24"/>
          <w:szCs w:val="24"/>
        </w:rPr>
        <w:t>return</w:t>
      </w:r>
      <w:r>
        <w:rPr>
          <w:rFonts w:ascii="Times New Roman" w:hAnsi="Times New Roman" w:cs="Times New Roman"/>
          <w:sz w:val="24"/>
          <w:szCs w:val="24"/>
        </w:rPr>
        <w:t xml:space="preserve"> yang lebih tinggi. Penelitian ini </w:t>
      </w:r>
      <w:r>
        <w:rPr>
          <w:rFonts w:ascii="Times New Roman" w:hAnsi="Times New Roman" w:cs="Times New Roman"/>
          <w:i/>
          <w:sz w:val="24"/>
          <w:szCs w:val="24"/>
        </w:rPr>
        <w:t>signaling theory,</w:t>
      </w:r>
      <w:r>
        <w:rPr>
          <w:rFonts w:ascii="Times New Roman" w:hAnsi="Times New Roman" w:cs="Times New Roman"/>
          <w:sz w:val="24"/>
          <w:szCs w:val="24"/>
        </w:rPr>
        <w:t xml:space="preserve"> yang menyatakan bahwa pengeluaran investasi memberikan sinyal positif mengenai pertumbuhan perusahaan di masa yang akan datan, sehingga dapat meningkatkan harga saham yang digunakan sebagai indicator nilai perusahaan.  </w:t>
      </w:r>
    </w:p>
    <w:p>
      <w:pPr>
        <w:tabs>
          <w:tab w:val="left" w:pos="720"/>
          <w:tab w:val="left" w:pos="8550"/>
        </w:tabs>
        <w:ind w:firstLine="0"/>
        <w:rPr>
          <w:rFonts w:ascii="Times New Roman" w:hAnsi="Times New Roman" w:cs="Times New Roman"/>
          <w:b/>
          <w:sz w:val="24"/>
          <w:szCs w:val="24"/>
        </w:rPr>
      </w:pPr>
      <w:r>
        <w:rPr>
          <w:rFonts w:ascii="Times New Roman" w:hAnsi="Times New Roman" w:cs="Times New Roman"/>
          <w:b/>
          <w:sz w:val="24"/>
          <w:szCs w:val="24"/>
        </w:rPr>
        <w:t>2.1.5.2 Hubungan antara Corporate Social Responbility Dengan Nilai Perusahaan</w:t>
      </w:r>
    </w:p>
    <w:p>
      <w:pPr>
        <w:tabs>
          <w:tab w:val="left" w:pos="720"/>
          <w:tab w:val="left" w:pos="8550"/>
        </w:tabs>
        <w:ind w:firstLine="720"/>
        <w:rPr>
          <w:rFonts w:ascii="Times New Roman" w:hAnsi="Times New Roman" w:cs="Times New Roman"/>
          <w:b/>
          <w:sz w:val="24"/>
          <w:szCs w:val="24"/>
        </w:rPr>
      </w:pPr>
      <w:r>
        <w:rPr>
          <w:rFonts w:ascii="Times New Roman" w:hAnsi="Times New Roman" w:cs="Times New Roman"/>
          <w:sz w:val="24"/>
          <w:szCs w:val="24"/>
        </w:rPr>
        <w:t xml:space="preserve">Informasi pengungkapan CSR yang dilakukan oleh perusahaan telah digunakan oleh para investor sebagai salah satu pertimbangan sebelum berinvestasi dalam sebuah perusahaan sehingga semakin baik atau lengkap sebuah laporan CSR perusahaan dapat menimbulkan reaksi positif dari investor untuk berinvestasi di perusahaan yang nantinya akan berdampak terhadap peningkatan permintaan saham perusahaan. </w:t>
      </w:r>
    </w:p>
    <w:p>
      <w:pPr>
        <w:tabs>
          <w:tab w:val="left" w:pos="720"/>
          <w:tab w:val="left" w:pos="8550"/>
        </w:tabs>
        <w:ind w:firstLine="720"/>
        <w:rPr>
          <w:rFonts w:ascii="Times New Roman" w:hAnsi="Times New Roman" w:cs="Times New Roman"/>
          <w:b/>
          <w:sz w:val="24"/>
          <w:szCs w:val="24"/>
        </w:rPr>
      </w:pPr>
      <w:r>
        <w:rPr>
          <w:rFonts w:ascii="Times New Roman" w:hAnsi="Times New Roman" w:cs="Times New Roman"/>
          <w:sz w:val="24"/>
          <w:szCs w:val="24"/>
        </w:rPr>
        <w:t>Para investor lebih memilih untuk berinvestasi di perusahaan yang memperhatikan keseimbangan antara kepentingan ekonomi, sosial, lingkungan dan masyarakat yang diungkapkan dalam laporan CSR tersebut Perusahaan yang telah melaporkan CSR secara lengkap dapat menimbulkan kepercayaan dan minat dari para investor untuk berinvestasi di perusahaan sehingga nantinya akan berdampak terhadap peningkatan permintaan saham perusahaan. Ketika permintaan terhadap saham perusahaan semakin meningkat maka semakin tinggi harga sahamnya sehingga akan berdampak terhadap peningkatan nilai perusahaan. Perusahaan yang menerapkan CSR dipandang sebagai perusahaan yang memiliki resiko yang rendah dimasa mendatang (Hosana dan Juniarti,2016).</w:t>
      </w:r>
    </w:p>
    <w:p>
      <w:pPr>
        <w:tabs>
          <w:tab w:val="left" w:pos="720"/>
          <w:tab w:val="left" w:pos="8550"/>
        </w:tabs>
        <w:ind w:firstLine="720"/>
        <w:rPr>
          <w:rFonts w:ascii="Times New Roman" w:hAnsi="Times New Roman" w:cs="Times New Roman"/>
          <w:b/>
          <w:sz w:val="24"/>
          <w:szCs w:val="24"/>
        </w:rPr>
      </w:pPr>
      <w:r>
        <w:rPr>
          <w:rFonts w:ascii="Times New Roman" w:hAnsi="Times New Roman" w:cs="Times New Roman"/>
          <w:sz w:val="24"/>
          <w:szCs w:val="24"/>
        </w:rPr>
        <w:t xml:space="preserve">Penelitian </w:t>
      </w:r>
      <w:sdt>
        <w:sdtPr>
          <w:rPr>
            <w:rFonts w:ascii="Times New Roman" w:hAnsi="Times New Roman" w:cs="Times New Roman"/>
            <w:sz w:val="24"/>
            <w:szCs w:val="24"/>
          </w:rPr>
          <w:id w:val="791706525"/>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dan16 \l 1033 </w:instrText>
          </w:r>
          <w:r>
            <w:rPr>
              <w:rFonts w:ascii="Times New Roman" w:hAnsi="Times New Roman" w:cs="Times New Roman"/>
              <w:sz w:val="24"/>
              <w:szCs w:val="24"/>
            </w:rPr>
            <w:fldChar w:fldCharType="separate"/>
          </w:r>
          <w:r>
            <w:rPr>
              <w:rFonts w:ascii="Times New Roman" w:hAnsi="Times New Roman" w:cs="Times New Roman"/>
              <w:sz w:val="24"/>
              <w:szCs w:val="24"/>
            </w:rPr>
            <w:t>(danis,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menyatakan bahwa CSR tidak berpengaruh terhadap nilai perusahaan karena rendahnya pengungkapan CSR yang dilakukan oleh perusahaan sehingga tidak dapat mempengaruhi dalam peningkatan nilai perusahaan.</w:t>
      </w:r>
    </w:p>
    <w:p>
      <w:pPr>
        <w:tabs>
          <w:tab w:val="left" w:pos="720"/>
          <w:tab w:val="left" w:pos="8550"/>
        </w:tabs>
        <w:ind w:firstLine="0"/>
        <w:rPr>
          <w:rFonts w:ascii="Times New Roman" w:hAnsi="Times New Roman" w:cs="Times New Roman"/>
          <w:b/>
          <w:sz w:val="24"/>
          <w:szCs w:val="24"/>
        </w:rPr>
      </w:pPr>
      <w:r>
        <w:rPr>
          <w:rFonts w:ascii="Times New Roman" w:hAnsi="Times New Roman" w:cs="Times New Roman"/>
          <w:b/>
          <w:sz w:val="24"/>
          <w:szCs w:val="24"/>
        </w:rPr>
        <w:t>2.1.5.3 Hubungan Risiko Bisnis Dengan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83681952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YUN17 \l 1033  </w:instrText>
          </w:r>
          <w:r>
            <w:rPr>
              <w:rFonts w:ascii="Times New Roman" w:hAnsi="Times New Roman" w:cs="Times New Roman"/>
              <w:sz w:val="24"/>
              <w:szCs w:val="24"/>
            </w:rPr>
            <w:fldChar w:fldCharType="separate"/>
          </w:r>
          <w:r>
            <w:rPr>
              <w:rFonts w:ascii="Times New Roman" w:hAnsi="Times New Roman" w:cs="Times New Roman"/>
              <w:sz w:val="24"/>
              <w:szCs w:val="24"/>
            </w:rPr>
            <w:t>(Yunan,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menyatakan  bahwa  semakin  besar  utang perusahaan maka akan semakin besar risiko kebangkrutan yang akan ditanggung perusahaan sehingga akan  menyebabkan  nilai  perusahaan  menjadi  turun.  Hal  ini  disebabkan  oleh semakin besar beban bunga tetap yang harus dibayarkan sehingga risiko perusahaan akan mengalami peningkatan. Perusahaan yang tidak mampu memprediksikan berapa laba yang akan mereka peroleh dan  penggunaan utang yang tinggi akan berdampak pada ketidakmampuan perusahaan untuk menangani risiko bisnis yang meningkat.</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46824376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YUN17 \l 1033 </w:instrText>
          </w:r>
          <w:r>
            <w:rPr>
              <w:rFonts w:ascii="Times New Roman" w:hAnsi="Times New Roman" w:cs="Times New Roman"/>
              <w:sz w:val="24"/>
              <w:szCs w:val="24"/>
            </w:rPr>
            <w:fldChar w:fldCharType="separate"/>
          </w:r>
          <w:r>
            <w:rPr>
              <w:rFonts w:ascii="Times New Roman" w:hAnsi="Times New Roman" w:cs="Times New Roman"/>
              <w:sz w:val="24"/>
              <w:szCs w:val="24"/>
            </w:rPr>
            <w:t>(Yunan,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Perusahaan yang memiliki risiko bisnis yang meningkat akan menyebabkan investor ragu-ragu untuk menanamkan dananya pada perusahaan tersebut karena perusahaan telah memiliki ancaman tidak dapat melunasi utangnya dan prospek perusahaan akan menjadi kurang baik dimata investor karena ketidakmampuan perusahaan untuk memberikan kemakmuran bagi para pemegang saham. Sehingga investor akan menurunkan permintaan atas saham perusahaan menyebabkan harga saham perusahaan dipasaran mengalami penurunan dan hal ini akan berdampak juga pada menurunnya nilai perusahaan. Dengan demikian, meningkatnya risiko bisnis akan mengakibatkan nilai perusahaan menurun. </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Sesuai dengan trade </w:t>
      </w:r>
      <w:r>
        <w:rPr>
          <w:rFonts w:ascii="Times New Roman" w:hAnsi="Times New Roman" w:cs="Times New Roman"/>
          <w:i/>
          <w:sz w:val="24"/>
          <w:szCs w:val="24"/>
        </w:rPr>
        <w:t>off theory</w:t>
      </w:r>
      <w:r>
        <w:rPr>
          <w:rFonts w:ascii="Times New Roman" w:hAnsi="Times New Roman" w:cs="Times New Roman"/>
          <w:sz w:val="24"/>
          <w:szCs w:val="24"/>
        </w:rPr>
        <w:t xml:space="preserve"> yang menyatakan bahwa semakin besar hutang maka semakin besar risiko kebangkrutan yang akan ditanggung perusahaan sehingga akan menyebabkan nilai perusahaan menjadi turun. Hal ini disebabkan semakin besarnya beban bunga tetap yang harus dibayarkan akan meningkatkan risiko selanjutnya pendapatan yang diperoleh semakin menurun dan berdampak pada risiko yang timbul dan berakibat pada nilai perusahaan. Risiko bisnis yang tinggi akan mengurangi kemampuan perusahaan untuk memperoleh pinjaman karena perusahaan tidak akan sanggup dalam menanggung beban tetap dari hutang. </w:t>
      </w:r>
      <w:sdt>
        <w:sdtPr>
          <w:rPr>
            <w:rFonts w:ascii="Times New Roman" w:hAnsi="Times New Roman" w:cs="Times New Roman"/>
            <w:sz w:val="24"/>
            <w:szCs w:val="24"/>
          </w:rPr>
          <w:id w:val="103382667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Sar16 \l 1033 </w:instrText>
          </w:r>
          <w:r>
            <w:rPr>
              <w:rFonts w:ascii="Times New Roman" w:hAnsi="Times New Roman" w:cs="Times New Roman"/>
              <w:sz w:val="24"/>
              <w:szCs w:val="24"/>
            </w:rPr>
            <w:fldChar w:fldCharType="separate"/>
          </w:r>
          <w:r>
            <w:rPr>
              <w:rFonts w:ascii="Times New Roman" w:hAnsi="Times New Roman" w:cs="Times New Roman"/>
              <w:sz w:val="24"/>
              <w:szCs w:val="24"/>
            </w:rPr>
            <w:t>(Saraswathi &amp; dkk,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Berdasarkan penelitian yang dilakukan oleh Ni Luh Putu Wiagustini (2015) menyatakan bahwa risiko bisnis berpengaruh terhadap nilai perusahaan</w:t>
      </w:r>
    </w:p>
    <w:p>
      <w:pPr>
        <w:tabs>
          <w:tab w:val="left" w:pos="720"/>
          <w:tab w:val="left" w:pos="8550"/>
        </w:tabs>
        <w:ind w:left="720" w:hanging="720"/>
        <w:rPr>
          <w:rFonts w:ascii="Times New Roman" w:hAnsi="Times New Roman" w:cs="Times New Roman"/>
          <w:sz w:val="24"/>
          <w:szCs w:val="24"/>
        </w:rPr>
      </w:pPr>
      <w:r>
        <w:rPr>
          <w:rFonts w:ascii="Times New Roman" w:hAnsi="Times New Roman" w:cs="Times New Roman"/>
          <w:b/>
          <w:sz w:val="24"/>
          <w:szCs w:val="24"/>
        </w:rPr>
        <w:t xml:space="preserve">2.1.6 </w:t>
      </w:r>
      <w:r>
        <w:rPr>
          <w:rFonts w:ascii="Times New Roman" w:hAnsi="Times New Roman" w:cs="Times New Roman"/>
          <w:b/>
          <w:sz w:val="24"/>
          <w:szCs w:val="24"/>
        </w:rPr>
        <w:tab/>
      </w:r>
      <w:r>
        <w:rPr>
          <w:rFonts w:ascii="Times New Roman" w:hAnsi="Times New Roman" w:cs="Times New Roman"/>
          <w:b/>
          <w:sz w:val="24"/>
          <w:szCs w:val="24"/>
        </w:rPr>
        <w:t>Penelitian Terdahulu</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Beberapa penelitian terdahulu yang berkaitan dengan bidang penelitian ini antara lain :</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Penelitian yang dilakukan </w:t>
      </w:r>
      <w:sdt>
        <w:sdtPr>
          <w:rPr>
            <w:rFonts w:ascii="Times New Roman" w:hAnsi="Times New Roman" w:cs="Times New Roman"/>
            <w:sz w:val="24"/>
            <w:szCs w:val="24"/>
          </w:rPr>
          <w:id w:val="1033826678"/>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Kho20 \l 1033  </w:instrText>
          </w:r>
          <w:r>
            <w:rPr>
              <w:rFonts w:ascii="Times New Roman" w:hAnsi="Times New Roman" w:cs="Times New Roman"/>
              <w:sz w:val="24"/>
              <w:szCs w:val="24"/>
            </w:rPr>
            <w:fldChar w:fldCharType="separate"/>
          </w:r>
          <w:r>
            <w:rPr>
              <w:rFonts w:ascii="Times New Roman" w:hAnsi="Times New Roman" w:cs="Times New Roman"/>
              <w:sz w:val="24"/>
              <w:szCs w:val="24"/>
            </w:rPr>
            <w:t>(Khoeriyah,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pada perusahaan pertambangan yang terdaftar di Bursa Efek Indonesia, tentang “ </w:t>
      </w:r>
      <w:r>
        <w:rPr>
          <w:rFonts w:ascii="Times New Roman" w:hAnsi="Times New Roman" w:cs="Times New Roman"/>
          <w:i/>
          <w:sz w:val="24"/>
          <w:szCs w:val="24"/>
        </w:rPr>
        <w:t>Pengaruh Size, Leverage, Sales Growth</w:t>
      </w:r>
      <w:r>
        <w:rPr>
          <w:rFonts w:ascii="Times New Roman" w:hAnsi="Times New Roman" w:cs="Times New Roman"/>
          <w:sz w:val="24"/>
          <w:szCs w:val="24"/>
        </w:rPr>
        <w:t xml:space="preserve"> Dan IOS  Terhadap Nilai Perusahaan” yang bertujuan untuk mengetahui pengaruh ukuran perusahaan</w:t>
      </w:r>
      <w:r>
        <w:rPr>
          <w:rFonts w:ascii="Times New Roman" w:hAnsi="Times New Roman" w:cs="Times New Roman"/>
          <w:i/>
          <w:sz w:val="24"/>
          <w:szCs w:val="24"/>
        </w:rPr>
        <w:t>, Leverage, Sales Growth Dan Ios</w:t>
      </w:r>
      <w:r>
        <w:rPr>
          <w:rFonts w:ascii="Times New Roman" w:hAnsi="Times New Roman" w:cs="Times New Roman"/>
          <w:sz w:val="24"/>
          <w:szCs w:val="24"/>
        </w:rPr>
        <w:t xml:space="preserve"> terhadap Nilai Perusahaan. penelitian ini menggunakan teknik </w:t>
      </w:r>
      <w:r>
        <w:rPr>
          <w:rFonts w:ascii="Times New Roman" w:hAnsi="Times New Roman" w:cs="Times New Roman"/>
          <w:i/>
          <w:sz w:val="24"/>
          <w:szCs w:val="24"/>
        </w:rPr>
        <w:t>Analisis Regresi</w:t>
      </w:r>
      <w:r>
        <w:rPr>
          <w:rFonts w:ascii="Times New Roman" w:hAnsi="Times New Roman" w:cs="Times New Roman"/>
          <w:sz w:val="24"/>
          <w:szCs w:val="24"/>
        </w:rPr>
        <w:t xml:space="preserve">. Hasil yang diperoleh bahwa ukuran perusahaan tidak mempunyai pengaruh terhadap Nilai Perusahaan, </w:t>
      </w:r>
      <w:r>
        <w:rPr>
          <w:rFonts w:ascii="Times New Roman" w:hAnsi="Times New Roman" w:cs="Times New Roman"/>
          <w:i/>
          <w:sz w:val="24"/>
          <w:szCs w:val="24"/>
        </w:rPr>
        <w:t>Leverage</w:t>
      </w:r>
      <w:r>
        <w:rPr>
          <w:rFonts w:ascii="Times New Roman" w:hAnsi="Times New Roman" w:cs="Times New Roman"/>
          <w:sz w:val="24"/>
          <w:szCs w:val="24"/>
        </w:rPr>
        <w:t xml:space="preserve"> mempunyai pengaruh negatif signifikan terhadap nilai perusahaan, </w:t>
      </w:r>
      <w:r>
        <w:rPr>
          <w:rFonts w:ascii="Times New Roman" w:hAnsi="Times New Roman" w:cs="Times New Roman"/>
          <w:i/>
          <w:sz w:val="24"/>
          <w:szCs w:val="24"/>
        </w:rPr>
        <w:t>Serta Sales Growth Dan Ios</w:t>
      </w:r>
      <w:r>
        <w:rPr>
          <w:rFonts w:ascii="Times New Roman" w:hAnsi="Times New Roman" w:cs="Times New Roman"/>
          <w:sz w:val="24"/>
          <w:szCs w:val="24"/>
        </w:rPr>
        <w:t xml:space="preserve"> mempunyai pengaruh positif signifikan terhadap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Penelitian yang dilakukan (Anggraeni &amp; dkk, 2019) pada Perusahaan Manufaktur Sektor Aneka Industri yang Terdaftar di Bursa Efek Indonesia, tentang </w:t>
      </w:r>
      <w:r>
        <w:rPr>
          <w:rFonts w:ascii="Times New Roman" w:hAnsi="Times New Roman" w:cs="Times New Roman"/>
          <w:i/>
          <w:sz w:val="24"/>
          <w:szCs w:val="24"/>
        </w:rPr>
        <w:t xml:space="preserve">“Pengaruh Free Cash Flow, Risiko Bisnis Dan Investment Opportunity Set Terhadap Nilai Perusahaan  Dengan Kebijakan Hutang Sebagai Variabel Intervening” </w:t>
      </w:r>
      <w:r>
        <w:rPr>
          <w:rFonts w:ascii="Times New Roman" w:hAnsi="Times New Roman" w:cs="Times New Roman"/>
          <w:sz w:val="24"/>
          <w:szCs w:val="24"/>
        </w:rPr>
        <w:t xml:space="preserve">yang bertujuan untuk </w:t>
      </w:r>
      <w:r>
        <w:rPr>
          <w:rFonts w:ascii="Times New Roman" w:hAnsi="Times New Roman" w:cs="Times New Roman"/>
          <w:sz w:val="24"/>
          <w:szCs w:val="24"/>
          <w:lang w:val="id-ID"/>
        </w:rPr>
        <w:t xml:space="preserve">untuk mengetahui pengaruh </w:t>
      </w:r>
      <w:r>
        <w:rPr>
          <w:rFonts w:ascii="Times New Roman" w:hAnsi="Times New Roman" w:cs="Times New Roman"/>
          <w:i/>
          <w:sz w:val="24"/>
          <w:szCs w:val="24"/>
          <w:lang w:val="id-ID"/>
        </w:rPr>
        <w:t>Free Cash Flow, Business Risk dan Investment Opportunity Set terhadap Nilai Perusahaan dengan Debt Policy sebagai Intervening Variab</w:t>
      </w:r>
      <w:r>
        <w:rPr>
          <w:rFonts w:ascii="Times New Roman" w:hAnsi="Times New Roman" w:cs="Times New Roman"/>
          <w:i/>
          <w:sz w:val="24"/>
          <w:szCs w:val="24"/>
        </w:rPr>
        <w:t>el.</w:t>
      </w:r>
      <w:r>
        <w:rPr>
          <w:rFonts w:ascii="Times New Roman" w:hAnsi="Times New Roman" w:cs="Times New Roman"/>
          <w:sz w:val="24"/>
          <w:szCs w:val="24"/>
          <w:lang w:val="id-ID"/>
        </w:rPr>
        <w:t xml:space="preserve">, </w:t>
      </w:r>
      <w:r>
        <w:rPr>
          <w:rFonts w:ascii="Times New Roman" w:hAnsi="Times New Roman" w:cs="Times New Roman"/>
          <w:sz w:val="24"/>
          <w:szCs w:val="24"/>
        </w:rPr>
        <w:t>penelitian ini</w:t>
      </w:r>
      <w:r>
        <w:rPr>
          <w:rFonts w:ascii="Times New Roman" w:hAnsi="Times New Roman" w:cs="Times New Roman"/>
          <w:sz w:val="24"/>
          <w:szCs w:val="24"/>
          <w:lang w:val="id-ID"/>
        </w:rPr>
        <w:t xml:space="preserve"> menggunakan </w:t>
      </w:r>
      <w:r>
        <w:rPr>
          <w:rFonts w:ascii="Times New Roman" w:hAnsi="Times New Roman" w:cs="Times New Roman"/>
          <w:sz w:val="24"/>
          <w:szCs w:val="24"/>
        </w:rPr>
        <w:t xml:space="preserve">teknik </w:t>
      </w:r>
      <w:r>
        <w:rPr>
          <w:rFonts w:ascii="Times New Roman" w:hAnsi="Times New Roman" w:cs="Times New Roman"/>
          <w:i/>
          <w:sz w:val="24"/>
          <w:szCs w:val="24"/>
        </w:rPr>
        <w:t>Analisis Regresi.</w:t>
      </w:r>
      <w:r>
        <w:rPr>
          <w:rFonts w:ascii="Times New Roman" w:hAnsi="Times New Roman" w:cs="Times New Roman"/>
          <w:sz w:val="24"/>
          <w:szCs w:val="24"/>
        </w:rPr>
        <w:t xml:space="preserve"> hasil yang diperoleh bahwa </w:t>
      </w:r>
      <w:r>
        <w:rPr>
          <w:rFonts w:ascii="Times New Roman" w:hAnsi="Times New Roman" w:cs="Times New Roman"/>
          <w:sz w:val="24"/>
          <w:szCs w:val="24"/>
          <w:lang w:val="id-ID"/>
        </w:rPr>
        <w:t xml:space="preserve">Variabel </w:t>
      </w:r>
      <w:r>
        <w:rPr>
          <w:rFonts w:ascii="Times New Roman" w:hAnsi="Times New Roman" w:cs="Times New Roman"/>
          <w:i/>
          <w:sz w:val="24"/>
          <w:szCs w:val="24"/>
          <w:lang w:val="id-ID"/>
        </w:rPr>
        <w:t>Free Cash Flow, Business Risk dan Investment Opportunity Set</w:t>
      </w:r>
      <w:r>
        <w:rPr>
          <w:rFonts w:ascii="Times New Roman" w:hAnsi="Times New Roman" w:cs="Times New Roman"/>
          <w:sz w:val="24"/>
          <w:szCs w:val="24"/>
          <w:lang w:val="id-ID"/>
        </w:rPr>
        <w:t xml:space="preserve"> berpengaruh negatif terhadap </w:t>
      </w:r>
      <w:r>
        <w:rPr>
          <w:rFonts w:ascii="Times New Roman" w:hAnsi="Times New Roman" w:cs="Times New Roman"/>
          <w:i/>
          <w:sz w:val="24"/>
          <w:szCs w:val="24"/>
          <w:lang w:val="id-ID"/>
        </w:rPr>
        <w:t>Debt Policy, Variable Free Cash Flow, Business Risk dan Investment Opportunity Setberpengaruh negatif terhadap Company Value, Debt Policy</w:t>
      </w:r>
      <w:r>
        <w:rPr>
          <w:rFonts w:ascii="Times New Roman" w:hAnsi="Times New Roman" w:cs="Times New Roman"/>
          <w:sz w:val="24"/>
          <w:szCs w:val="24"/>
          <w:lang w:val="id-ID"/>
        </w:rPr>
        <w:t xml:space="preserve"> tidak dapat. memediasi pengaruh arus kas bebas terhadap nilai perusahaan, kebijakan hutang memediasi pengaruh risiko bisnis terhadap nilai perusahaan, kebijakan hutang memediasi pengaruh set peluang investasi terhadap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Penelitian pada perusahaan manufaktur yang terdaftar di Bursa Efek Indonesia (Murnita &amp; Putra, 2018), dengan tema “Pengaruh tanggung jawab sosial perusahaan terhadap nilai perusahaan, dengan </w:t>
      </w:r>
      <w:r>
        <w:rPr>
          <w:rFonts w:ascii="Times New Roman" w:hAnsi="Times New Roman" w:cs="Times New Roman"/>
          <w:i/>
          <w:sz w:val="24"/>
          <w:szCs w:val="24"/>
        </w:rPr>
        <w:t>profitabilitas</w:t>
      </w:r>
      <w:r>
        <w:rPr>
          <w:rFonts w:ascii="Times New Roman" w:hAnsi="Times New Roman" w:cs="Times New Roman"/>
          <w:sz w:val="24"/>
          <w:szCs w:val="24"/>
        </w:rPr>
        <w:t xml:space="preserve"> dan </w:t>
      </w:r>
      <w:r>
        <w:rPr>
          <w:rFonts w:ascii="Times New Roman" w:hAnsi="Times New Roman" w:cs="Times New Roman"/>
          <w:i/>
          <w:sz w:val="24"/>
          <w:szCs w:val="24"/>
        </w:rPr>
        <w:t xml:space="preserve">leverage </w:t>
      </w:r>
      <w:r>
        <w:rPr>
          <w:rFonts w:ascii="Times New Roman" w:hAnsi="Times New Roman" w:cs="Times New Roman"/>
          <w:sz w:val="24"/>
          <w:szCs w:val="24"/>
        </w:rPr>
        <w:t xml:space="preserve">sebagai variabel </w:t>
      </w:r>
      <w:r>
        <w:rPr>
          <w:rFonts w:ascii="Times New Roman" w:hAnsi="Times New Roman" w:cs="Times New Roman"/>
          <w:i/>
          <w:sz w:val="24"/>
          <w:szCs w:val="24"/>
        </w:rPr>
        <w:t>moderator</w:t>
      </w:r>
      <w:r>
        <w:rPr>
          <w:rFonts w:ascii="Times New Roman" w:hAnsi="Times New Roman" w:cs="Times New Roman"/>
          <w:sz w:val="24"/>
          <w:szCs w:val="24"/>
        </w:rPr>
        <w:t xml:space="preserve">”, yang bertujuan untuk menguji pengaruh perusahaan. tanggung jawab sosial pada perusahaan Pengaruh nilai memiliki </w:t>
      </w:r>
      <w:r>
        <w:rPr>
          <w:rFonts w:ascii="Times New Roman" w:hAnsi="Times New Roman" w:cs="Times New Roman"/>
          <w:i/>
          <w:sz w:val="24"/>
          <w:szCs w:val="24"/>
        </w:rPr>
        <w:t>profitabilitas</w:t>
      </w:r>
      <w:r>
        <w:rPr>
          <w:rFonts w:ascii="Times New Roman" w:hAnsi="Times New Roman" w:cs="Times New Roman"/>
          <w:sz w:val="24"/>
          <w:szCs w:val="24"/>
        </w:rPr>
        <w:t xml:space="preserve"> dan leverage yang moderat. Penelitian ini menggunakan teknik analisis</w:t>
      </w:r>
      <w:r>
        <w:rPr>
          <w:rFonts w:ascii="Times New Roman" w:hAnsi="Times New Roman" w:cs="Times New Roman"/>
          <w:i/>
          <w:sz w:val="24"/>
          <w:szCs w:val="24"/>
        </w:rPr>
        <w:t xml:space="preserve"> regresi</w:t>
      </w:r>
      <w:r>
        <w:rPr>
          <w:rFonts w:ascii="Times New Roman" w:hAnsi="Times New Roman" w:cs="Times New Roman"/>
          <w:sz w:val="24"/>
          <w:szCs w:val="24"/>
        </w:rPr>
        <w:t xml:space="preserve">. Hasil yang diperoleh menunjukkan bahwa variabel tanggung jawab sosial perusahaan berpengaruh positif terhadap nilai perusahaan. </w:t>
      </w:r>
      <w:r>
        <w:rPr>
          <w:rFonts w:ascii="Times New Roman" w:hAnsi="Times New Roman" w:cs="Times New Roman"/>
          <w:i/>
          <w:sz w:val="24"/>
          <w:szCs w:val="24"/>
        </w:rPr>
        <w:t>Profitabilitas</w:t>
      </w:r>
      <w:r>
        <w:rPr>
          <w:rFonts w:ascii="Times New Roman" w:hAnsi="Times New Roman" w:cs="Times New Roman"/>
          <w:sz w:val="24"/>
          <w:szCs w:val="24"/>
        </w:rPr>
        <w:t xml:space="preserve"> meningkatkan dampak tanggung jawab sosial perusahaan terhadap nilai perusahaan. Variabel </w:t>
      </w:r>
      <w:r>
        <w:rPr>
          <w:rFonts w:ascii="Times New Roman" w:hAnsi="Times New Roman" w:cs="Times New Roman"/>
          <w:i/>
          <w:sz w:val="24"/>
          <w:szCs w:val="24"/>
        </w:rPr>
        <w:t xml:space="preserve">leverage </w:t>
      </w:r>
      <w:r>
        <w:rPr>
          <w:rFonts w:ascii="Times New Roman" w:hAnsi="Times New Roman" w:cs="Times New Roman"/>
          <w:sz w:val="24"/>
          <w:szCs w:val="24"/>
        </w:rPr>
        <w:t>memperlemah dampak tanggung jawab sosial perusahaan terhadap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 xml:space="preserve">Penelitian yang dilakukan </w:t>
      </w:r>
      <w:sdt>
        <w:sdtPr>
          <w:rPr>
            <w:rFonts w:ascii="Times New Roman" w:hAnsi="Times New Roman" w:cs="Times New Roman"/>
            <w:sz w:val="24"/>
            <w:szCs w:val="24"/>
          </w:rPr>
          <w:id w:val="1033826681"/>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Gin20 \l 1033 </w:instrText>
          </w:r>
          <w:r>
            <w:rPr>
              <w:rFonts w:ascii="Times New Roman" w:hAnsi="Times New Roman" w:cs="Times New Roman"/>
              <w:sz w:val="24"/>
              <w:szCs w:val="24"/>
            </w:rPr>
            <w:fldChar w:fldCharType="separate"/>
          </w:r>
          <w:r>
            <w:rPr>
              <w:rFonts w:ascii="Times New Roman" w:hAnsi="Times New Roman" w:cs="Times New Roman"/>
              <w:sz w:val="24"/>
              <w:szCs w:val="24"/>
            </w:rPr>
            <w:t>(Ginting &amp; dkk,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pada bank bumn tentang” Pengaruh Risiko Bisnis, Risiko Finansial Dan Risiko Pasar Terhadap Nilai Perusahaan” yang bertujuan melihat pengaruh Risiko Bisnis, Risiko Finansial dan Risiko Pasar Terhadap Nilai Perusahaan pada Bank BUMN. penelitian ini menggunakan teknik alasisis regresi. Dan hasil dari penelitian menunjukkan bahwa secara parsial Risiko Bisnis berpengaruh signifikan terhadap Nilai Perusahaan, sedangkan Risiko Finansial dan Risiko Pasar tidak berpengaruh signifikan terhadap Nilai Perusahaan. Secara simultan Risiko Bisnis, Risiko Finansial dan Risiko Pasar berpengaruh signifikan terhadap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rPr>
        <w:t>Penelitian Yang Dilakukan</w:t>
      </w:r>
      <w:sdt>
        <w:sdtPr>
          <w:rPr>
            <w:rFonts w:ascii="Times New Roman" w:hAnsi="Times New Roman" w:cs="Times New Roman"/>
            <w:i/>
            <w:sz w:val="24"/>
            <w:szCs w:val="24"/>
          </w:rPr>
          <w:id w:val="539782854"/>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Wah20 \l 1033 </w:instrText>
          </w:r>
          <w:r>
            <w:rPr>
              <w:rFonts w:ascii="Times New Roman" w:hAnsi="Times New Roman" w:cs="Times New Roman"/>
              <w:i/>
              <w:sz w:val="24"/>
              <w:szCs w:val="24"/>
            </w:rPr>
            <w:fldChar w:fldCharType="separate"/>
          </w:r>
          <w:r>
            <w:rPr>
              <w:rFonts w:ascii="Times New Roman" w:hAnsi="Times New Roman" w:cs="Times New Roman"/>
              <w:sz w:val="24"/>
              <w:szCs w:val="24"/>
            </w:rPr>
            <w:t>(Wahyudi, 2020)</w:t>
          </w:r>
          <w:r>
            <w:rPr>
              <w:rFonts w:ascii="Times New Roman" w:hAnsi="Times New Roman" w:cs="Times New Roman"/>
              <w:i/>
              <w:sz w:val="24"/>
              <w:szCs w:val="24"/>
            </w:rPr>
            <w:fldChar w:fldCharType="end"/>
          </w:r>
        </w:sdtContent>
      </w:sdt>
      <w:r>
        <w:rPr>
          <w:rFonts w:ascii="Times New Roman" w:hAnsi="Times New Roman" w:cs="Times New Roman"/>
          <w:sz w:val="24"/>
          <w:szCs w:val="24"/>
          <w:lang w:val="id-ID"/>
        </w:rPr>
        <w:t>Jurnal Eropa Bisnis dan Riset Manajemen</w:t>
      </w:r>
      <w:r>
        <w:rPr>
          <w:rFonts w:ascii="Times New Roman" w:hAnsi="Times New Roman" w:cs="Times New Roman"/>
          <w:sz w:val="24"/>
          <w:szCs w:val="24"/>
        </w:rPr>
        <w:t xml:space="preserve"> tentang “</w:t>
      </w:r>
      <w:r>
        <w:rPr>
          <w:rFonts w:ascii="Times New Roman" w:hAnsi="Times New Roman" w:cs="Times New Roman"/>
          <w:sz w:val="24"/>
          <w:szCs w:val="24"/>
          <w:lang w:val="id-ID"/>
        </w:rPr>
        <w:t xml:space="preserve">Pengaruh </w:t>
      </w:r>
      <w:r>
        <w:rPr>
          <w:rFonts w:ascii="Times New Roman" w:hAnsi="Times New Roman" w:cs="Times New Roman"/>
          <w:i/>
          <w:sz w:val="24"/>
          <w:szCs w:val="24"/>
          <w:lang w:val="id-ID"/>
        </w:rPr>
        <w:t>Corporate Social Responsibility, Investment Opportunity Set, Leverage,</w:t>
      </w:r>
      <w:r>
        <w:rPr>
          <w:rFonts w:ascii="Times New Roman" w:hAnsi="Times New Roman" w:cs="Times New Roman"/>
          <w:sz w:val="24"/>
          <w:szCs w:val="24"/>
          <w:lang w:val="id-ID"/>
        </w:rPr>
        <w:t>Dan Ukuran Perusahaan Terhadap Nilai Perusahaan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Ini Bertujuan Untuk Menguji Dan Menguji Pengaruh </w:t>
      </w:r>
      <w:r>
        <w:rPr>
          <w:rFonts w:ascii="Times New Roman" w:hAnsi="Times New Roman" w:cs="Times New Roman"/>
          <w:i/>
          <w:sz w:val="24"/>
          <w:szCs w:val="24"/>
          <w:lang w:val="id-ID"/>
        </w:rPr>
        <w:t>Corporate Social Responsibility, Investment Opportunity Set, Leverage</w:t>
      </w:r>
      <w:r>
        <w:rPr>
          <w:rFonts w:ascii="Times New Roman" w:hAnsi="Times New Roman" w:cs="Times New Roman"/>
          <w:sz w:val="24"/>
          <w:szCs w:val="24"/>
          <w:lang w:val="id-ID"/>
        </w:rPr>
        <w:t xml:space="preserve">, Dan Ukuran Perusahaan Terhadap Nilai Perusahaan. Analisis data yang digunakan dalam penelitian ini adalah analisis regresi berganda. Hasil penelitian ini adalah bahwa </w:t>
      </w:r>
      <w:r>
        <w:rPr>
          <w:rFonts w:ascii="Times New Roman" w:hAnsi="Times New Roman" w:cs="Times New Roman"/>
          <w:i/>
          <w:sz w:val="24"/>
          <w:szCs w:val="24"/>
          <w:lang w:val="id-ID"/>
        </w:rPr>
        <w:t>corporate social responsibility dan investment opportunity set</w:t>
      </w:r>
      <w:r>
        <w:rPr>
          <w:rFonts w:ascii="Times New Roman" w:hAnsi="Times New Roman" w:cs="Times New Roman"/>
          <w:sz w:val="24"/>
          <w:szCs w:val="24"/>
          <w:lang w:val="id-ID"/>
        </w:rPr>
        <w:t xml:space="preserve">tidak berpengaruh signifikan terhadap nilai perusahaan dan </w:t>
      </w:r>
      <w:r>
        <w:rPr>
          <w:rFonts w:ascii="Times New Roman" w:hAnsi="Times New Roman" w:cs="Times New Roman"/>
          <w:i/>
          <w:sz w:val="24"/>
          <w:szCs w:val="24"/>
          <w:lang w:val="id-ID"/>
        </w:rPr>
        <w:t xml:space="preserve">leverage </w:t>
      </w:r>
      <w:r>
        <w:rPr>
          <w:rFonts w:ascii="Times New Roman" w:hAnsi="Times New Roman" w:cs="Times New Roman"/>
          <w:sz w:val="24"/>
          <w:szCs w:val="24"/>
          <w:lang w:val="id-ID"/>
        </w:rPr>
        <w:t>dan ukuran perusahaan berpengaruh signifikan terhadap nilai perusahaan</w:t>
      </w:r>
    </w:p>
    <w:p>
      <w:pPr>
        <w:tabs>
          <w:tab w:val="left" w:pos="720"/>
          <w:tab w:val="left" w:pos="8550"/>
        </w:tabs>
        <w:ind w:firstLine="720"/>
        <w:rPr>
          <w:rFonts w:ascii="Times New Roman" w:hAnsi="Times New Roman" w:cs="Times New Roman"/>
          <w:sz w:val="24"/>
          <w:szCs w:val="24"/>
        </w:rPr>
      </w:pPr>
      <w:r>
        <w:rPr>
          <w:rFonts w:ascii="Times New Roman" w:hAnsi="Times New Roman" w:cs="Times New Roman"/>
          <w:sz w:val="24"/>
          <w:szCs w:val="24"/>
          <w:lang w:val="id-ID"/>
        </w:rPr>
        <w:t xml:space="preserve">Penelitian yang dilakukan (Bandanuji &amp; Khoiruddin, 2020), jurnal analisis manajemen tentang dampak risiko bisnis dan ukuran perusahaan terhadap nilai perusahaan dengan kebijakan hutang sebagai variabel intervensi, bertujuan untuk mengetahui pengaruh risiko bisnis dan ukuran perusahaan terhadap nilai perusahaan. Kebijakan hutang adalah </w:t>
      </w:r>
      <w:r>
        <w:rPr>
          <w:rFonts w:ascii="Times New Roman" w:hAnsi="Times New Roman" w:cs="Times New Roman"/>
          <w:i/>
          <w:sz w:val="24"/>
          <w:szCs w:val="24"/>
          <w:lang w:val="id-ID"/>
        </w:rPr>
        <w:t>variabel</w:t>
      </w:r>
      <w:r>
        <w:rPr>
          <w:rFonts w:ascii="Times New Roman" w:hAnsi="Times New Roman" w:cs="Times New Roman"/>
          <w:sz w:val="24"/>
          <w:szCs w:val="24"/>
          <w:lang w:val="id-ID"/>
        </w:rPr>
        <w:t>. Metode analisis data menggunakan analisis regresi linier berganda dan analisis jalur. Hasil penelitian menunjukkan bahwa risiko bisnis berdampak negatif terhadap kebijakan utang, sedangkan ukuran perusahaan berpengaruh positif terhadap kebijakan utang. Risiko bisnis berpengaruh negatif terhadap nilai perusahaan, sedangkan ukuran perusahaan dan kebijakan hutang berpengaruh positif terhadap nilai perusahaan. Kebijakan hutang hanya dapat memediasi dampak risiko bisnis terhadap nilai perusahaan.</w:t>
      </w:r>
    </w:p>
    <w:p>
      <w:pPr>
        <w:tabs>
          <w:tab w:val="left" w:pos="720"/>
          <w:tab w:val="left" w:pos="8550"/>
        </w:tabs>
        <w:ind w:firstLine="0"/>
        <w:rPr>
          <w:rFonts w:ascii="Times New Roman" w:hAnsi="Times New Roman" w:cs="Times New Roman"/>
          <w:sz w:val="24"/>
          <w:szCs w:val="24"/>
        </w:rPr>
      </w:pPr>
      <w:r>
        <w:rPr>
          <w:rFonts w:ascii="Times New Roman" w:hAnsi="Times New Roman" w:cs="Times New Roman"/>
          <w:b/>
          <w:sz w:val="24"/>
          <w:szCs w:val="24"/>
        </w:rPr>
        <w:t>2.2 Kerangka Pikir</w:t>
      </w:r>
    </w:p>
    <w:p>
      <w:pPr>
        <w:tabs>
          <w:tab w:val="left" w:pos="720"/>
          <w:tab w:val="left" w:pos="8550"/>
        </w:tabs>
        <w:ind w:firstLine="720"/>
        <w:rPr>
          <w:rFonts w:ascii="Times New Roman" w:hAnsi="Times New Roman" w:eastAsia="Times New Roman" w:cs="Times New Roman"/>
          <w:sz w:val="24"/>
          <w:szCs w:val="24"/>
        </w:rPr>
      </w:pPr>
      <w:r>
        <w:rPr>
          <w:rFonts w:ascii="Times New Roman" w:hAnsi="Times New Roman" w:cs="Times New Roman"/>
          <w:sz w:val="24"/>
          <w:szCs w:val="24"/>
        </w:rPr>
        <w:t xml:space="preserve">Sektor keuangan terutama perbankan memiliki peran yang sangat vital dalam menjaga kestabilitasan perekonomian di dalam suatu negara. Perbankan merupakan salah satu lembaga keuangan yang terdaftar dalam Bursa Efek Indonesia yang berada disektor keuangan yang memiliki peran sebagai perantara keuangan dari dua pihak, yakni pihak yang berlebih dana dengan pihak yang kekurangan dana. Namun, sub sektor perbankan mengalami pertumbuhan yang menurun adanya pertumbuhan kredit yang melambat sebesar 1,49%yoy, maka dapat diindikasikan bahwa kinerja perbankan akan melambat signifikan di tahun ini (Bisnis.com 2020). Untuk Menyelesaikan permasalan pada sub sektor perbankan maka peneliti menggunakan beberapa alat ukur seperti </w:t>
      </w:r>
      <w:r>
        <w:rPr>
          <w:rFonts w:ascii="Times New Roman" w:hAnsi="Times New Roman" w:cs="Times New Roman"/>
          <w:i/>
          <w:sz w:val="24"/>
          <w:szCs w:val="24"/>
        </w:rPr>
        <w:t>Investement Opportunty Set</w:t>
      </w:r>
      <w:r>
        <w:rPr>
          <w:rFonts w:ascii="Times New Roman" w:hAnsi="Times New Roman" w:cs="Times New Roman"/>
          <w:sz w:val="24"/>
          <w:szCs w:val="24"/>
        </w:rPr>
        <w:t xml:space="preserve"> yang terdiri dari MBVE dan CAPBVA  </w:t>
      </w:r>
      <w:r>
        <w:rPr>
          <w:rFonts w:ascii="Times New Roman" w:hAnsi="Times New Roman" w:cs="Times New Roman" w:eastAsiaTheme="minorEastAsia"/>
          <w:sz w:val="24"/>
          <w:szCs w:val="24"/>
        </w:rPr>
        <w:t xml:space="preserve">(Putri&amp; Setiawan, 2019), </w:t>
      </w:r>
      <w:r>
        <w:rPr>
          <w:rFonts w:ascii="Times New Roman" w:hAnsi="Times New Roman" w:cs="Times New Roman"/>
          <w:i/>
          <w:sz w:val="24"/>
          <w:szCs w:val="24"/>
        </w:rPr>
        <w:t>Corporate Social Responbility</w:t>
      </w:r>
      <w:r>
        <w:rPr>
          <w:rFonts w:ascii="Times New Roman" w:hAnsi="Times New Roman" w:cs="Times New Roman"/>
          <w:sz w:val="24"/>
          <w:szCs w:val="24"/>
        </w:rPr>
        <w:t xml:space="preserve"> yang terdiri dari </w:t>
      </w:r>
      <w:r>
        <w:rPr>
          <w:rFonts w:ascii="Times New Roman" w:hAnsi="Times New Roman" w:cs="Times New Roman"/>
          <w:i/>
          <w:sz w:val="24"/>
          <w:szCs w:val="24"/>
        </w:rPr>
        <w:t>Corporate Social Responsibility Disclosure Index</w:t>
      </w:r>
      <w:r>
        <w:rPr>
          <w:rFonts w:ascii="Times New Roman" w:hAnsi="Times New Roman" w:cs="Times New Roman"/>
          <w:sz w:val="24"/>
          <w:szCs w:val="24"/>
        </w:rPr>
        <w:t xml:space="preserve">, Serta Risiko Bisnis Yang Terdiri Dari BRISK. Peneliti juga menggunakan alat ukur seperti diatas untuk melihat nilai perusahaan pada sub sektor perbankan, nilai perusahaan selalu dikaitkan dengan harga saham. Jika nilai perusahaan pada sub sektor perbankan baik, otomatis akan berdampak juga pada harga saham sub sektor perbankan. </w:t>
      </w:r>
    </w:p>
    <w:p>
      <w:pPr>
        <w:tabs>
          <w:tab w:val="left" w:pos="8550"/>
        </w:tabs>
        <w:ind w:firstLine="720"/>
        <w:rPr>
          <w:rFonts w:ascii="Times New Roman" w:hAnsi="Times New Roman" w:cs="Times New Roman" w:eastAsiaTheme="minorEastAsia"/>
          <w:sz w:val="24"/>
          <w:szCs w:val="24"/>
        </w:rPr>
      </w:pPr>
      <w:r>
        <w:rPr>
          <w:rFonts w:ascii="Times New Roman" w:hAnsi="Times New Roman" w:cs="Times New Roman"/>
          <w:sz w:val="24"/>
          <w:szCs w:val="24"/>
        </w:rPr>
        <w:t xml:space="preserve">Beberapa Peneltian terdahulu yang menyatakan bahwa terdapat hubungan antara </w:t>
      </w:r>
      <w:r>
        <w:rPr>
          <w:rFonts w:ascii="Times New Roman" w:hAnsi="Times New Roman" w:cs="Times New Roman"/>
          <w:i/>
          <w:sz w:val="24"/>
          <w:szCs w:val="24"/>
        </w:rPr>
        <w:t>Invesment Opportunity Set, Corporate Social Responbility</w:t>
      </w:r>
      <w:r>
        <w:rPr>
          <w:rFonts w:ascii="Times New Roman" w:hAnsi="Times New Roman" w:cs="Times New Roman"/>
          <w:sz w:val="24"/>
          <w:szCs w:val="24"/>
        </w:rPr>
        <w:t xml:space="preserve"> Dan Risiko Bisnis terhadap nilai perusahaan antara lain adalah </w:t>
      </w:r>
      <w:sdt>
        <w:sdtPr>
          <w:rPr>
            <w:rFonts w:ascii="Times New Roman" w:hAnsi="Times New Roman" w:cs="Times New Roman"/>
            <w:sz w:val="24"/>
            <w:szCs w:val="24"/>
          </w:rPr>
          <w:id w:val="83681951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Kho20 \l 1033  </w:instrText>
          </w:r>
          <w:r>
            <w:rPr>
              <w:rFonts w:ascii="Times New Roman" w:hAnsi="Times New Roman" w:cs="Times New Roman"/>
              <w:sz w:val="24"/>
              <w:szCs w:val="24"/>
            </w:rPr>
            <w:fldChar w:fldCharType="separate"/>
          </w:r>
          <w:r>
            <w:rPr>
              <w:rFonts w:ascii="Times New Roman" w:hAnsi="Times New Roman" w:cs="Times New Roman"/>
              <w:sz w:val="24"/>
              <w:szCs w:val="24"/>
            </w:rPr>
            <w:t>(Khoeriyah,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836819520"/>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Mur18 \l 1033 </w:instrText>
          </w:r>
          <w:r>
            <w:rPr>
              <w:rFonts w:ascii="Times New Roman" w:hAnsi="Times New Roman" w:cs="Times New Roman"/>
              <w:sz w:val="24"/>
              <w:szCs w:val="24"/>
            </w:rPr>
            <w:fldChar w:fldCharType="separate"/>
          </w:r>
          <w:r>
            <w:rPr>
              <w:rFonts w:ascii="Times New Roman" w:hAnsi="Times New Roman" w:cs="Times New Roman"/>
              <w:sz w:val="24"/>
              <w:szCs w:val="24"/>
            </w:rPr>
            <w:t>(Murnita &amp; Putra,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serta Feren Geovannie Ginting, Ivonne S. Saerang, dan Joubert B. Maramis (2020). </w:t>
      </w:r>
    </w:p>
    <w:p>
      <w:pPr>
        <w:tabs>
          <w:tab w:val="left" w:pos="720"/>
          <w:tab w:val="left" w:pos="8550"/>
        </w:tabs>
        <w:rPr>
          <w:rFonts w:ascii="Times New Roman" w:hAnsi="Times New Roman" w:cs="Times New Roman"/>
          <w:sz w:val="24"/>
          <w:szCs w:val="24"/>
        </w:rPr>
      </w:pPr>
      <w:r>
        <w:rPr>
          <w:rFonts w:ascii="Times New Roman" w:hAnsi="Times New Roman" w:cs="Times New Roman"/>
          <w:sz w:val="24"/>
          <w:szCs w:val="24"/>
        </w:rPr>
        <w:t xml:space="preserve">Untuk memudahkan menganalisa pada penelitian ini, maka diperlukan kerangka pikir peneleitian sebagai berikut : </w:t>
      </w:r>
    </w:p>
    <w:p>
      <w:pPr>
        <w:tabs>
          <w:tab w:val="left" w:pos="720"/>
          <w:tab w:val="left" w:pos="8550"/>
        </w:tabs>
        <w:jc w:val="center"/>
        <w:rPr>
          <w:rFonts w:ascii="Times New Roman" w:hAnsi="Times New Roman" w:cs="Times New Roman"/>
          <w:sz w:val="24"/>
          <w:szCs w:val="24"/>
        </w:rPr>
      </w:pPr>
      <w:r>
        <w:rPr>
          <w:rFonts w:ascii="Times New Roman" w:hAnsi="Times New Roman" w:cs="Times New Roman"/>
          <w:sz w:val="24"/>
          <w:szCs w:val="24"/>
          <w:lang w:eastAsia="zh-TW"/>
        </w:rPr>
        <w:pict>
          <v:shape id="_x0000_s1123" o:spid="_x0000_s1123" o:spt="202" type="#_x0000_t202" style="position:absolute;left:0pt;margin-left:134.85pt;margin-top:19pt;height:29.1pt;width:150.4pt;z-index:251669504;mso-width-relative:margin;mso-height-relative:margin;" coordsize="21600,21600">
            <v:path/>
            <v:fill focussize="0,0"/>
            <v:stroke joinstyle="miter"/>
            <v:imagedata o:title=""/>
            <o:lock v:ext="edit"/>
            <v:textbox>
              <w:txbxContent>
                <w:p>
                  <w:pPr>
                    <w:ind w:left="-180" w:right="-180" w:firstLine="540"/>
                    <w:rPr>
                      <w:rFonts w:ascii="Times New Roman" w:hAnsi="Times New Roman" w:cs="Times New Roman"/>
                      <w:sz w:val="24"/>
                      <w:szCs w:val="24"/>
                    </w:rPr>
                  </w:pPr>
                  <w:r>
                    <w:rPr>
                      <w:rFonts w:ascii="Times New Roman" w:hAnsi="Times New Roman" w:cs="Times New Roman"/>
                      <w:sz w:val="24"/>
                      <w:szCs w:val="24"/>
                    </w:rPr>
                    <w:t>Sub Sektor Perbankan</w:t>
                  </w:r>
                </w:p>
              </w:txbxContent>
            </v:textbox>
          </v:shape>
        </w:pict>
      </w:r>
      <w:r>
        <w:rPr>
          <w:rFonts w:ascii="Times New Roman" w:hAnsi="Times New Roman" w:cs="Times New Roman"/>
          <w:b/>
          <w:sz w:val="24"/>
          <w:szCs w:val="24"/>
        </w:rPr>
        <w:t>Gambar 2.1 kerangka pikir</w:t>
      </w:r>
    </w:p>
    <w:p>
      <w:pPr>
        <w:jc w:val="center"/>
        <w:rPr>
          <w:rFonts w:ascii="Times New Roman" w:hAnsi="Times New Roman" w:cs="Times New Roman"/>
          <w:b/>
          <w:sz w:val="24"/>
          <w:szCs w:val="24"/>
        </w:rPr>
      </w:pPr>
      <w:r>
        <w:rPr>
          <w:rFonts w:ascii="Times New Roman" w:hAnsi="Times New Roman" w:cs="Times New Roman"/>
          <w:sz w:val="24"/>
          <w:szCs w:val="24"/>
        </w:rPr>
        <w:pict>
          <v:shape id="_x0000_s1139" o:spid="_x0000_s1139" o:spt="32" type="#_x0000_t32" style="position:absolute;left:0pt;flip:x;margin-left:274.75pt;margin-top:223.6pt;height:0pt;width:113.35pt;z-index:251685888;mso-width-relative:page;mso-height-relative:page;" o:connectortype="straight" filled="f" coordsize="21600,21600">
            <v:path arrowok="t"/>
            <v:fill on="f" focussize="0,0"/>
            <v:stroke/>
            <v:imagedata o:title=""/>
            <o:lock v:ext="edit"/>
          </v:shape>
        </w:pict>
      </w:r>
      <w:r>
        <w:rPr>
          <w:rFonts w:ascii="Times New Roman" w:hAnsi="Times New Roman" w:cs="Times New Roman"/>
          <w:sz w:val="24"/>
          <w:szCs w:val="24"/>
        </w:rPr>
        <w:pict>
          <v:shape id="_x0000_s1134" o:spid="_x0000_s1134" o:spt="32" type="#_x0000_t32" style="position:absolute;left:0pt;margin-left:278.9pt;margin-top:114.45pt;height:0pt;width:218.35pt;rotation:17694720f;z-index:251680768;mso-width-relative:page;mso-height-relative:page;" o:connectortype="elbow" filled="f" coordsize="21600,21600" adj="-49645,-1,-49645">
            <v:path arrowok="t"/>
            <v:fill on="f" focussize="0,0"/>
            <v:stroke/>
            <v:imagedata o:title=""/>
            <o:lock v:ext="edit"/>
          </v:shape>
        </w:pict>
      </w:r>
      <w:r>
        <w:rPr>
          <w:rFonts w:ascii="Times New Roman" w:hAnsi="Times New Roman" w:cs="Times New Roman"/>
          <w:sz w:val="24"/>
          <w:szCs w:val="24"/>
        </w:rPr>
        <w:pict>
          <v:shape id="_x0000_s1137" o:spid="_x0000_s1137" o:spt="32" type="#_x0000_t32" style="position:absolute;left:0pt;margin-left:134.85pt;margin-top:146.35pt;height:53.75pt;width:50.45pt;z-index:25168384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31" o:spid="_x0000_s1131" o:spt="32" type="#_x0000_t32" style="position:absolute;left:0pt;margin-left:34.75pt;margin-top:146.35pt;height:53.75pt;width:144pt;z-index:25167769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32" o:spid="_x0000_s1132" o:spt="32" type="#_x0000_t32" style="position:absolute;left:0pt;flip:x;margin-left:190pt;margin-top:146.35pt;height:53.75pt;width:49.5pt;z-index:25167872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33" o:spid="_x0000_s1133" o:spt="32" type="#_x0000_t32" style="position:absolute;left:0pt;flip:x;margin-left:197.8pt;margin-top:146.35pt;height:53.75pt;width:143.3pt;z-index:25167974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lang w:eastAsia="zh-TW"/>
        </w:rPr>
        <w:pict>
          <v:shape id="_x0000_s1130" o:spid="_x0000_s1130" o:spt="202" type="#_x0000_t202" style="position:absolute;left:0pt;margin-left:119.7pt;margin-top:200.1pt;height:49.7pt;width:155.05pt;z-index:251676672;mso-width-relative:margin;mso-height-relative:margin;" coordsize="21600,21600">
            <v:path/>
            <v:fill focussize="0,0"/>
            <v:stroke joinstyle="miter"/>
            <v:imagedata o:title=""/>
            <o:lock v:ext="edit"/>
            <v:textbox>
              <w:txbxContent>
                <w:p>
                  <w:pPr>
                    <w:ind w:left="-180" w:firstLine="0"/>
                    <w:jc w:val="center"/>
                    <w:rPr>
                      <w:rFonts w:ascii="Times New Roman" w:hAnsi="Times New Roman" w:cs="Times New Roman"/>
                      <w:sz w:val="24"/>
                      <w:szCs w:val="24"/>
                    </w:rPr>
                  </w:pPr>
                  <w:r>
                    <w:rPr>
                      <w:rFonts w:ascii="Times New Roman" w:hAnsi="Times New Roman" w:cs="Times New Roman"/>
                      <w:sz w:val="24"/>
                      <w:szCs w:val="24"/>
                    </w:rPr>
                    <w:t>NILAI PERUSAHAN</w:t>
                  </w:r>
                </w:p>
                <w:p>
                  <w:pPr>
                    <w:ind w:left="-180" w:firstLine="0"/>
                    <w:jc w:val="center"/>
                    <w:rPr>
                      <w:rFonts w:ascii="Times New Roman" w:hAnsi="Times New Roman" w:cs="Times New Roman"/>
                      <w:sz w:val="24"/>
                      <w:szCs w:val="24"/>
                    </w:rPr>
                  </w:pPr>
                  <w:r>
                    <w:rPr>
                      <w:rFonts w:ascii="Times New Roman" w:hAnsi="Times New Roman" w:cs="Times New Roman"/>
                      <w:sz w:val="24"/>
                      <w:szCs w:val="24"/>
                    </w:rPr>
                    <w:t>(Y)</w:t>
                  </w:r>
                </w:p>
              </w:txbxContent>
            </v:textbox>
          </v:shape>
        </w:pict>
      </w:r>
      <w:r>
        <w:rPr>
          <w:rFonts w:ascii="Times New Roman" w:hAnsi="Times New Roman" w:cs="Times New Roman"/>
          <w:sz w:val="24"/>
          <w:szCs w:val="24"/>
        </w:rPr>
        <w:pict>
          <v:shape id="_x0000_s1125" o:spid="_x0000_s1125" o:spt="32" type="#_x0000_t32" style="position:absolute;left:0pt;margin-left:193.75pt;margin-top:20.5pt;height:66.6pt;width:143.3pt;z-index:25167155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38" o:spid="_x0000_s1138" o:spt="32" type="#_x0000_t32" style="position:absolute;left:0pt;margin-left:193.75pt;margin-top:20.5pt;height:66.6pt;width:49.5pt;z-index:25168486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26" o:spid="_x0000_s1126" o:spt="32" type="#_x0000_t32" style="position:absolute;left:0pt;flip:x;margin-left:139pt;margin-top:20.5pt;height:66.6pt;width:54.75pt;z-index:25167257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24" o:spid="_x0000_s1124" o:spt="32" type="#_x0000_t32" style="position:absolute;left:0pt;flip:x;margin-left:34.75pt;margin-top:20.5pt;height:66.6pt;width:159pt;z-index:25167052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35" o:spid="_x0000_s1135" o:spt="32" type="#_x0000_t32" style="position:absolute;left:0pt;flip:x;margin-left:285.25pt;margin-top:5.25pt;height:0.05pt;width:102.85pt;z-index:25168179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lang w:eastAsia="zh-TW"/>
        </w:rPr>
        <w:pict>
          <v:shape id="_x0000_s1127" o:spid="_x0000_s1127" o:spt="202" type="#_x0000_t202" style="position:absolute;left:0pt;margin-left:1.15pt;margin-top:87.1pt;height:59.25pt;width:81pt;z-index:251673600;mso-width-relative:margin;mso-height-relative:margin;" coordsize="21600,21600">
            <v:path/>
            <v:fill focussize="0,0"/>
            <v:stroke joinstyle="miter"/>
            <v:imagedata o:title=""/>
            <o:lock v:ext="edit"/>
            <v:textbox>
              <w:txbxContent>
                <w:p>
                  <w:pPr>
                    <w:ind w:firstLine="0"/>
                    <w:jc w:val="center"/>
                    <w:rPr>
                      <w:sz w:val="28"/>
                      <w:szCs w:val="28"/>
                    </w:rPr>
                  </w:pPr>
                  <w:r>
                    <w:rPr>
                      <w:rFonts w:ascii="Times New Roman" w:hAnsi="Times New Roman" w:cs="Times New Roman"/>
                      <w:i/>
                      <w:sz w:val="24"/>
                      <w:szCs w:val="24"/>
                    </w:rPr>
                    <w:t>MBVE</w:t>
                  </w:r>
                </w:p>
                <w:p>
                  <w:pPr>
                    <w:ind w:firstLine="0"/>
                    <w:jc w:val="center"/>
                    <w:rPr>
                      <w:rFonts w:ascii="Times New Roman" w:hAnsi="Times New Roman" w:cs="Times New Roman"/>
                      <w:sz w:val="24"/>
                      <w:szCs w:val="24"/>
                    </w:rPr>
                  </w:pPr>
                  <w:r>
                    <w:rPr>
                      <w:rFonts w:ascii="Times New Roman" w:hAnsi="Times New Roman" w:cs="Times New Roman"/>
                      <w:sz w:val="24"/>
                      <w:szCs w:val="24"/>
                    </w:rPr>
                    <w:t>(X1)</w:t>
                  </w:r>
                </w:p>
                <w:p>
                  <w:pPr>
                    <w:ind w:firstLine="0"/>
                    <w:jc w:val="center"/>
                  </w:pPr>
                </w:p>
              </w:txbxContent>
            </v:textbox>
          </v:shape>
        </w:pict>
      </w:r>
      <w:r>
        <w:rPr>
          <w:rFonts w:ascii="Times New Roman" w:hAnsi="Times New Roman" w:cs="Times New Roman"/>
          <w:sz w:val="24"/>
          <w:szCs w:val="24"/>
          <w:lang w:eastAsia="zh-TW"/>
        </w:rPr>
        <w:pict>
          <v:shape id="_x0000_s1128" o:spid="_x0000_s1128" o:spt="202" type="#_x0000_t202" style="position:absolute;left:0pt;margin-left:98.5pt;margin-top:87.1pt;height:59.25pt;width:86.8pt;z-index:251674624;mso-width-relative:margin;mso-height-relative:margin;" coordsize="21600,21600">
            <v:path/>
            <v:fill focussize="0,0"/>
            <v:stroke joinstyle="miter"/>
            <v:imagedata o:title=""/>
            <o:lock v:ext="edit"/>
            <v:textbox>
              <w:txbxContent>
                <w:p>
                  <w:pPr>
                    <w:ind w:firstLine="0"/>
                    <w:jc w:val="center"/>
                    <w:rPr>
                      <w:rFonts w:ascii="Times New Roman" w:hAnsi="Times New Roman" w:cs="Times New Roman"/>
                      <w:sz w:val="24"/>
                      <w:szCs w:val="24"/>
                    </w:rPr>
                  </w:pPr>
                  <w:r>
                    <w:rPr>
                      <w:rFonts w:ascii="Times New Roman" w:hAnsi="Times New Roman" w:cs="Times New Roman"/>
                      <w:sz w:val="24"/>
                      <w:szCs w:val="24"/>
                    </w:rPr>
                    <w:t>CAPBVA(X2)</w:t>
                  </w:r>
                </w:p>
                <w:p/>
              </w:txbxContent>
            </v:textbox>
          </v:shape>
        </w:pict>
      </w:r>
      <w:r>
        <w:rPr>
          <w:rFonts w:ascii="Times New Roman" w:hAnsi="Times New Roman" w:cs="Times New Roman"/>
          <w:sz w:val="24"/>
          <w:szCs w:val="24"/>
          <w:lang w:eastAsia="zh-TW"/>
        </w:rPr>
        <w:pict>
          <v:shape id="_x0000_s1129" o:spid="_x0000_s1129" o:spt="202" type="#_x0000_t202" style="position:absolute;left:0pt;margin-left:197.8pt;margin-top:87.1pt;height:59.25pt;width:92.1pt;z-index:251675648;mso-width-relative:margin;mso-height-relative:margin;" coordsize="21600,21600">
            <v:path/>
            <v:fill focussize="0,0"/>
            <v:stroke joinstyle="miter"/>
            <v:imagedata o:title=""/>
            <o:lock v:ext="edit"/>
            <v:textbox>
              <w:txbxContent>
                <w:p>
                  <w:pPr>
                    <w:ind w:firstLine="0"/>
                    <w:jc w:val="center"/>
                    <w:rPr>
                      <w:rFonts w:ascii="Times New Roman" w:hAnsi="Times New Roman" w:cs="Times New Roman"/>
                      <w:sz w:val="24"/>
                      <w:szCs w:val="24"/>
                    </w:rPr>
                  </w:pPr>
                  <w:r>
                    <w:rPr>
                      <w:rFonts w:ascii="Times New Roman" w:hAnsi="Times New Roman" w:cs="Times New Roman"/>
                      <w:sz w:val="24"/>
                      <w:szCs w:val="24"/>
                    </w:rPr>
                    <w:t>CSRI</w:t>
                  </w:r>
                </w:p>
                <w:p>
                  <w:pPr>
                    <w:ind w:firstLine="0"/>
                    <w:jc w:val="center"/>
                    <w:rPr>
                      <w:rFonts w:ascii="Times New Roman" w:hAnsi="Times New Roman" w:cs="Times New Roman"/>
                      <w:sz w:val="24"/>
                      <w:szCs w:val="24"/>
                    </w:rPr>
                  </w:pPr>
                  <w:r>
                    <w:rPr>
                      <w:rFonts w:ascii="Times New Roman" w:hAnsi="Times New Roman" w:cs="Times New Roman"/>
                      <w:sz w:val="24"/>
                      <w:szCs w:val="24"/>
                    </w:rPr>
                    <w:t xml:space="preserve"> (X3)</w:t>
                  </w:r>
                </w:p>
                <w:p>
                  <w:pPr>
                    <w:rPr>
                      <w:szCs w:val="24"/>
                    </w:rPr>
                  </w:pPr>
                </w:p>
              </w:txbxContent>
            </v:textbox>
          </v:shape>
        </w:pict>
      </w:r>
      <w:r>
        <w:rPr>
          <w:rFonts w:ascii="Times New Roman" w:hAnsi="Times New Roman" w:cs="Times New Roman"/>
          <w:sz w:val="24"/>
          <w:szCs w:val="24"/>
        </w:rPr>
        <w:pict>
          <v:shape id="_x0000_s1136" o:spid="_x0000_s1136" o:spt="202" type="#_x0000_t202" style="position:absolute;left:0pt;margin-left:299.35pt;margin-top:87.1pt;height:59.25pt;width:80.85pt;z-index:251682816;mso-width-relative:page;mso-height-relative:page;" coordsize="21600,21600">
            <v:path/>
            <v:fill focussize="0,0"/>
            <v:stroke joinstyle="miter"/>
            <v:imagedata o:title=""/>
            <o:lock v:ext="edit"/>
            <v:textbox>
              <w:txbxContent>
                <w:p>
                  <w:pPr>
                    <w:ind w:firstLine="0"/>
                    <w:jc w:val="center"/>
                    <w:rPr>
                      <w:rFonts w:ascii="Times New Roman" w:hAnsi="Times New Roman" w:cs="Times New Roman"/>
                      <w:sz w:val="28"/>
                      <w:szCs w:val="28"/>
                    </w:rPr>
                  </w:pPr>
                  <w:r>
                    <w:rPr>
                      <w:rFonts w:ascii="Times New Roman" w:hAnsi="Times New Roman" w:cs="Times New Roman"/>
                      <w:i/>
                      <w:sz w:val="28"/>
                      <w:szCs w:val="28"/>
                    </w:rPr>
                    <w:t>(Brisk)</w:t>
                  </w:r>
                </w:p>
                <w:p>
                  <w:pPr>
                    <w:ind w:firstLine="0"/>
                    <w:jc w:val="center"/>
                    <w:rPr>
                      <w:sz w:val="28"/>
                      <w:szCs w:val="28"/>
                    </w:rPr>
                  </w:pPr>
                  <w:r>
                    <w:rPr>
                      <w:rFonts w:ascii="Times New Roman" w:hAnsi="Times New Roman" w:cs="Times New Roman"/>
                      <w:sz w:val="28"/>
                      <w:szCs w:val="28"/>
                    </w:rPr>
                    <w:t>(X4)</w:t>
                  </w:r>
                </w:p>
                <w:p>
                  <w:pPr>
                    <w:ind w:firstLine="0"/>
                    <w:jc w:val="center"/>
                  </w:pPr>
                </w:p>
              </w:txbxContent>
            </v:textbox>
          </v:shape>
        </w:pict>
      </w:r>
      <w:r>
        <w:rPr>
          <w:rFonts w:ascii="Times New Roman" w:hAnsi="Times New Roman" w:cs="Times New Roman"/>
          <w:sz w:val="24"/>
          <w:szCs w:val="24"/>
        </w:rPr>
        <w:br w:type="page"/>
      </w:r>
    </w:p>
    <w:p>
      <w:pPr>
        <w:pStyle w:val="23"/>
        <w:numPr>
          <w:ilvl w:val="1"/>
          <w:numId w:val="7"/>
        </w:numPr>
        <w:tabs>
          <w:tab w:val="left" w:pos="720"/>
          <w:tab w:val="left" w:pos="8550"/>
        </w:tabs>
        <w:rPr>
          <w:rFonts w:ascii="Times New Roman" w:hAnsi="Times New Roman" w:cs="Times New Roman"/>
          <w:b/>
          <w:sz w:val="24"/>
          <w:szCs w:val="24"/>
        </w:rPr>
      </w:pPr>
      <w:r>
        <w:rPr>
          <w:rFonts w:ascii="Times New Roman" w:hAnsi="Times New Roman" w:cs="Times New Roman"/>
          <w:b/>
          <w:sz w:val="24"/>
          <w:szCs w:val="24"/>
        </w:rPr>
        <w:t>HIPOTESIS</w:t>
      </w:r>
    </w:p>
    <w:p>
      <w:pPr>
        <w:tabs>
          <w:tab w:val="left" w:pos="720"/>
          <w:tab w:val="left" w:pos="8550"/>
        </w:tabs>
        <w:ind w:firstLine="720"/>
        <w:rPr>
          <w:rFonts w:ascii="Times New Roman" w:hAnsi="Times New Roman" w:cs="Times New Roman"/>
          <w:b/>
          <w:sz w:val="24"/>
          <w:szCs w:val="24"/>
        </w:rPr>
      </w:pPr>
      <w:r>
        <w:rPr>
          <w:rFonts w:ascii="Times New Roman" w:hAnsi="Times New Roman" w:cs="Times New Roman"/>
          <w:sz w:val="24"/>
          <w:szCs w:val="24"/>
        </w:rPr>
        <w:t>Hipotesis adalah jawaban sementara terhadap rumusan masalah yang bersifat sementara yang</w:t>
      </w:r>
      <w:r>
        <w:rPr>
          <w:rFonts w:ascii="Times New Roman" w:hAnsi="Times New Roman" w:cs="Times New Roman"/>
          <w:sz w:val="24"/>
          <w:szCs w:val="24"/>
          <w:lang w:val="id-ID"/>
        </w:rPr>
        <w:t xml:space="preserve"> perlu dilakukan pembuktian kebenaran melalui data empiris yang terkumpul</w:t>
      </w:r>
      <w:r>
        <w:rPr>
          <w:rFonts w:ascii="Times New Roman" w:hAnsi="Times New Roman" w:cs="Times New Roman"/>
          <w:sz w:val="24"/>
          <w:szCs w:val="24"/>
        </w:rPr>
        <w:t xml:space="preserve"> (Sugiyono, 2017). Berdasarkan Rumusan Masalah Dan Tinjauan Pustaka Yang Telah Dikemukakan, Maka Hipotesis Yang Diajukan Dalam Penelitian Ini Sebagai Berikut :</w:t>
      </w:r>
    </w:p>
    <w:p>
      <w:pPr>
        <w:pStyle w:val="23"/>
        <w:numPr>
          <w:ilvl w:val="0"/>
          <w:numId w:val="17"/>
        </w:numPr>
        <w:tabs>
          <w:tab w:val="left" w:pos="720"/>
          <w:tab w:val="left" w:pos="8550"/>
        </w:tabs>
        <w:rPr>
          <w:rFonts w:ascii="Times New Roman" w:hAnsi="Times New Roman" w:cs="Times New Roman"/>
          <w:sz w:val="24"/>
          <w:szCs w:val="24"/>
        </w:rPr>
      </w:pPr>
      <w:r>
        <w:rPr>
          <w:rFonts w:ascii="Times New Roman" w:hAnsi="Times New Roman" w:cs="Times New Roman"/>
          <w:sz w:val="24"/>
          <w:szCs w:val="24"/>
        </w:rPr>
        <w:t xml:space="preserve">Investment Opportunity Set Yang Terdiri Dari </w:t>
      </w:r>
      <w:r>
        <w:rPr>
          <w:rFonts w:ascii="Times New Roman" w:hAnsi="Times New Roman" w:cs="Times New Roman"/>
          <w:i/>
          <w:sz w:val="24"/>
          <w:szCs w:val="24"/>
        </w:rPr>
        <w:t>Mbve</w:t>
      </w:r>
      <w:r>
        <w:rPr>
          <w:rFonts w:ascii="Times New Roman" w:hAnsi="Times New Roman" w:cs="Times New Roman"/>
          <w:sz w:val="24"/>
          <w:szCs w:val="24"/>
        </w:rPr>
        <w:t xml:space="preserve"> (Xi) Berpengaruh Dan Signifikan Terhadap Nilai Perusahaan (Y) Pada Sub Sector Perbankan Yang Terdaftar Di Bursa Efek Indonesia Pada Tahun 2015 -2019</w:t>
      </w:r>
    </w:p>
    <w:p>
      <w:pPr>
        <w:pStyle w:val="23"/>
        <w:numPr>
          <w:ilvl w:val="0"/>
          <w:numId w:val="17"/>
        </w:numPr>
        <w:tabs>
          <w:tab w:val="left" w:pos="720"/>
          <w:tab w:val="left" w:pos="8550"/>
        </w:tabs>
        <w:rPr>
          <w:rFonts w:ascii="Times New Roman" w:hAnsi="Times New Roman" w:cs="Times New Roman"/>
          <w:sz w:val="24"/>
          <w:szCs w:val="24"/>
        </w:rPr>
      </w:pPr>
      <w:r>
        <w:rPr>
          <w:rFonts w:ascii="Times New Roman" w:hAnsi="Times New Roman" w:cs="Times New Roman"/>
          <w:sz w:val="24"/>
          <w:szCs w:val="24"/>
        </w:rPr>
        <w:t>Investment Opportunity Set Yang Terdiri Dari Capbva (X2) Berpengaruh Dan Signifikan Terhadap Nilai Perusahaan (Y) Pada Sub Sector Perbankan Yang Terdaftar Di Bursa Efek Indonesia Pada Tahun 2015 -2019</w:t>
      </w:r>
    </w:p>
    <w:p>
      <w:pPr>
        <w:pStyle w:val="23"/>
        <w:numPr>
          <w:ilvl w:val="0"/>
          <w:numId w:val="17"/>
        </w:numPr>
        <w:tabs>
          <w:tab w:val="left" w:pos="720"/>
          <w:tab w:val="left" w:pos="8550"/>
        </w:tabs>
        <w:rPr>
          <w:rFonts w:ascii="Times New Roman" w:hAnsi="Times New Roman" w:cs="Times New Roman"/>
          <w:sz w:val="24"/>
          <w:szCs w:val="24"/>
        </w:rPr>
      </w:pPr>
      <w:r>
        <w:rPr>
          <w:rFonts w:ascii="Times New Roman" w:hAnsi="Times New Roman" w:cs="Times New Roman"/>
          <w:i/>
          <w:sz w:val="24"/>
          <w:szCs w:val="24"/>
        </w:rPr>
        <w:t xml:space="preserve">Corporate Social Responsibility </w:t>
      </w:r>
      <w:r>
        <w:rPr>
          <w:rFonts w:ascii="Times New Roman" w:hAnsi="Times New Roman" w:cs="Times New Roman"/>
          <w:sz w:val="24"/>
          <w:szCs w:val="24"/>
        </w:rPr>
        <w:t xml:space="preserve">Yang Terdiri Dari </w:t>
      </w:r>
      <w:r>
        <w:rPr>
          <w:rFonts w:ascii="Times New Roman" w:hAnsi="Times New Roman" w:cs="Times New Roman"/>
          <w:i/>
          <w:sz w:val="24"/>
          <w:szCs w:val="24"/>
        </w:rPr>
        <w:t xml:space="preserve">Corporate Social Responsibility Disclosure Index </w:t>
      </w:r>
      <w:r>
        <w:rPr>
          <w:rFonts w:ascii="Times New Roman" w:hAnsi="Times New Roman" w:cs="Times New Roman"/>
          <w:sz w:val="24"/>
          <w:szCs w:val="24"/>
        </w:rPr>
        <w:t>(X3) Berpengaruh Dan Signifikan Terhadap Nilai Perusahaan  (Y) Pada Sub Sector Perbankan Yang Terdaftar Dibursa Efek Indonesia Pada Tahun 2015 -2019</w:t>
      </w:r>
    </w:p>
    <w:p>
      <w:pPr>
        <w:pStyle w:val="23"/>
        <w:numPr>
          <w:ilvl w:val="0"/>
          <w:numId w:val="17"/>
        </w:numPr>
        <w:tabs>
          <w:tab w:val="left" w:pos="720"/>
          <w:tab w:val="left" w:pos="8550"/>
        </w:tabs>
        <w:rPr>
          <w:rFonts w:ascii="Times New Roman" w:hAnsi="Times New Roman" w:cs="Times New Roman"/>
          <w:sz w:val="24"/>
          <w:szCs w:val="24"/>
        </w:rPr>
      </w:pPr>
      <w:r>
        <w:rPr>
          <w:rFonts w:ascii="Times New Roman" w:hAnsi="Times New Roman" w:cs="Times New Roman"/>
          <w:sz w:val="24"/>
          <w:szCs w:val="24"/>
        </w:rPr>
        <w:t>Risiko Bisnis Yang Terdiri Dari Brisk (X4) Berpengaruh Dan Terhadap Nilai Perusahaan (Y) Pada Sub Sektor Perusahaan Sub Sector Perbankan Yang Terdaftar Di Bursa Efek Indonesia Pada Tahun 2015-2019</w:t>
      </w:r>
    </w:p>
    <w:p>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pPr>
        <w:ind w:firstLine="0"/>
        <w:rPr>
          <w:rFonts w:ascii="Times New Roman" w:hAnsi="Times New Roman" w:cs="Times New Roman"/>
          <w:sz w:val="24"/>
          <w:szCs w:val="24"/>
        </w:rPr>
        <w:sectPr>
          <w:headerReference r:id="rId11" w:type="first"/>
          <w:footerReference r:id="rId12" w:type="first"/>
          <w:headerReference r:id="rId10" w:type="default"/>
          <w:pgSz w:w="11907" w:h="16840"/>
          <w:pgMar w:top="2275" w:right="1699" w:bottom="1699" w:left="2275" w:header="1728" w:footer="1728" w:gutter="0"/>
          <w:pgNumType w:start="16"/>
          <w:cols w:space="720" w:num="1"/>
          <w:titlePg/>
          <w:docGrid w:linePitch="360" w:charSpace="0"/>
        </w:sectPr>
      </w:pPr>
    </w:p>
    <w:p>
      <w:pPr>
        <w:spacing w:line="240" w:lineRule="auto"/>
        <w:ind w:firstLine="0"/>
        <w:jc w:val="center"/>
        <w:rPr>
          <w:rFonts w:ascii="Times New Roman" w:hAnsi="Times New Roman" w:cs="Times New Roman"/>
          <w:b/>
          <w:sz w:val="24"/>
          <w:szCs w:val="24"/>
        </w:rPr>
        <w:sectPr>
          <w:headerReference r:id="rId14" w:type="first"/>
          <w:footerReference r:id="rId17" w:type="first"/>
          <w:headerReference r:id="rId13" w:type="default"/>
          <w:footerReference r:id="rId15" w:type="default"/>
          <w:footerReference r:id="rId16" w:type="even"/>
          <w:pgSz w:w="11907" w:h="16840"/>
          <w:pgMar w:top="2250" w:right="1699" w:bottom="1699" w:left="2275" w:header="1728" w:footer="1728" w:gutter="0"/>
          <w:pgNumType w:start="47"/>
          <w:cols w:space="720" w:num="1"/>
          <w:docGrid w:linePitch="360" w:charSpace="0"/>
        </w:sectPr>
      </w:pPr>
    </w:p>
    <w:p>
      <w:pPr>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BAB III</w:t>
      </w:r>
    </w:p>
    <w:p>
      <w:pPr>
        <w:tabs>
          <w:tab w:val="left" w:pos="90"/>
        </w:tabs>
        <w:jc w:val="center"/>
        <w:rPr>
          <w:rFonts w:ascii="Times New Roman" w:hAnsi="Times New Roman" w:cs="Times New Roman"/>
          <w:b/>
          <w:sz w:val="24"/>
          <w:szCs w:val="24"/>
        </w:rPr>
      </w:pPr>
      <w:r>
        <w:rPr>
          <w:rFonts w:ascii="Times New Roman" w:hAnsi="Times New Roman" w:cs="Times New Roman"/>
          <w:b/>
          <w:sz w:val="24"/>
          <w:szCs w:val="24"/>
        </w:rPr>
        <w:t>OBJEK DAN METODE PENELITIAN</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3.1 Objek Penelitian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Objek Penelitian adalah sasaran untuk mendapatkan suatu data. Sesuai dengan pengertian objek penelitian yang dikemukakan oleh (Nuryaman &amp; Veronica, 2015).</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 xml:space="preserve">Objek dalam penelitian ini adalah sub sektor perbankan yang terdaftar di Bursa Efek Indonesia (BEI) yang terdiri dari 45 perusahaan pada tahun 2015-2019. </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3.2 Metode Penelitian</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3.2.1 Metode yang digunakan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Dalam melakukan penelitian ini peneliti memilih jenis penelitian ini yang mengacu pada jenis penelitian kuantitatif, menurut Kumalasari &amp; Widyawati (2016), pendekatan penelitian kuantitatif dapat diartikan “sebagai metode penelitian yang digunakan untuk meneliti pada populasi atau sampel tertentu, pengumpulan data menggunakan instrument penelitian, analisis data bersifat </w:t>
      </w:r>
      <w:r>
        <w:rPr>
          <w:rFonts w:ascii="Times New Roman" w:hAnsi="Times New Roman" w:cs="Times New Roman"/>
          <w:i/>
          <w:sz w:val="24"/>
          <w:szCs w:val="24"/>
        </w:rPr>
        <w:t>statistic</w:t>
      </w:r>
      <w:r>
        <w:rPr>
          <w:rFonts w:ascii="Times New Roman" w:hAnsi="Times New Roman" w:cs="Times New Roman"/>
          <w:sz w:val="24"/>
          <w:szCs w:val="24"/>
        </w:rPr>
        <w:t>/kuantitatif dengan tujuan untuk menguji hipotesis yang ditetapkan”.</w:t>
      </w:r>
    </w:p>
    <w:p>
      <w:pPr>
        <w:pStyle w:val="23"/>
        <w:numPr>
          <w:ilvl w:val="2"/>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Operasionalisasi Variabel</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Menurut (Asmawi, 2018) Operasional Variabel penelitian merupakan “Segala sesuatu yang berbentuk apa saja yang ditetapkan oleh peneliti untuk dipelajari sehingga diperoleh informasi tentang hal tersebut, kemudian ditarik kesimpulannya.”</w:t>
      </w:r>
    </w:p>
    <w:p>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pPr>
        <w:tabs>
          <w:tab w:val="left" w:pos="90"/>
        </w:tabs>
        <w:ind w:firstLine="0"/>
        <w:rPr>
          <w:rFonts w:ascii="Times New Roman" w:hAnsi="Times New Roman" w:cs="Times New Roman"/>
          <w:b/>
          <w:sz w:val="24"/>
          <w:szCs w:val="24"/>
        </w:rPr>
      </w:pPr>
      <w:r>
        <w:rPr>
          <w:rFonts w:ascii="Times New Roman" w:hAnsi="Times New Roman" w:cs="Times New Roman"/>
          <w:b/>
          <w:sz w:val="24"/>
          <w:szCs w:val="24"/>
        </w:rPr>
        <w:t>a. Variabel Independen</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Variabel independen adalah </w:t>
      </w:r>
      <w:r>
        <w:rPr>
          <w:rFonts w:ascii="Times New Roman" w:hAnsi="Times New Roman" w:cs="Times New Roman"/>
          <w:i/>
          <w:sz w:val="24"/>
          <w:szCs w:val="24"/>
        </w:rPr>
        <w:t xml:space="preserve">variabel </w:t>
      </w:r>
      <w:r>
        <w:rPr>
          <w:rFonts w:ascii="Times New Roman" w:hAnsi="Times New Roman" w:cs="Times New Roman"/>
          <w:sz w:val="24"/>
          <w:szCs w:val="24"/>
        </w:rPr>
        <w:t xml:space="preserve">bebas yang mempengaruhi </w:t>
      </w:r>
      <w:r>
        <w:rPr>
          <w:rFonts w:ascii="Times New Roman" w:hAnsi="Times New Roman" w:cs="Times New Roman"/>
          <w:i/>
          <w:sz w:val="24"/>
          <w:szCs w:val="24"/>
        </w:rPr>
        <w:t>variabel</w:t>
      </w:r>
      <w:r>
        <w:rPr>
          <w:rFonts w:ascii="Times New Roman" w:hAnsi="Times New Roman" w:cs="Times New Roman"/>
          <w:sz w:val="24"/>
          <w:szCs w:val="24"/>
        </w:rPr>
        <w:t xml:space="preserve"> terikat secara</w:t>
      </w:r>
      <w:r>
        <w:rPr>
          <w:rFonts w:ascii="Times New Roman" w:hAnsi="Times New Roman" w:cs="Times New Roman"/>
          <w:i/>
          <w:sz w:val="24"/>
          <w:szCs w:val="24"/>
        </w:rPr>
        <w:t xml:space="preserve"> individual</w:t>
      </w:r>
      <w:r>
        <w:rPr>
          <w:rFonts w:ascii="Times New Roman" w:hAnsi="Times New Roman" w:cs="Times New Roman"/>
          <w:sz w:val="24"/>
          <w:szCs w:val="24"/>
        </w:rPr>
        <w:t xml:space="preserve"> atau bersamaan (Asmawi, 2018). Variable independen pada penelitian ini adalah </w:t>
      </w:r>
      <w:r>
        <w:rPr>
          <w:rFonts w:ascii="Times New Roman" w:hAnsi="Times New Roman" w:cs="Times New Roman"/>
          <w:i/>
          <w:sz w:val="24"/>
          <w:szCs w:val="24"/>
        </w:rPr>
        <w:t xml:space="preserve">Investment Opportunity Set </w:t>
      </w:r>
      <w:r>
        <w:rPr>
          <w:rFonts w:ascii="Times New Roman" w:hAnsi="Times New Roman" w:cs="Times New Roman"/>
          <w:sz w:val="24"/>
          <w:szCs w:val="24"/>
        </w:rPr>
        <w:t>yang terdiri dari MBVE,CAPBVA</w:t>
      </w:r>
      <w:r>
        <w:rPr>
          <w:rFonts w:ascii="Times New Roman" w:hAnsi="Times New Roman" w:cs="Times New Roman"/>
          <w:i/>
          <w:sz w:val="24"/>
          <w:szCs w:val="24"/>
        </w:rPr>
        <w:t>, Corporate Social Responbility</w:t>
      </w:r>
      <w:r>
        <w:rPr>
          <w:rFonts w:ascii="Times New Roman" w:hAnsi="Times New Roman" w:cs="Times New Roman"/>
          <w:sz w:val="24"/>
          <w:szCs w:val="24"/>
        </w:rPr>
        <w:t>dan  Risiko Bisnis .</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b. Variabel Dependen</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 xml:space="preserve">Variabel dependen adalah </w:t>
      </w:r>
      <w:r>
        <w:rPr>
          <w:rFonts w:ascii="Times New Roman" w:hAnsi="Times New Roman" w:cs="Times New Roman"/>
          <w:i/>
          <w:sz w:val="24"/>
          <w:szCs w:val="24"/>
        </w:rPr>
        <w:t>variabel</w:t>
      </w:r>
      <w:r>
        <w:rPr>
          <w:rFonts w:ascii="Times New Roman" w:hAnsi="Times New Roman" w:cs="Times New Roman"/>
          <w:sz w:val="24"/>
          <w:szCs w:val="24"/>
        </w:rPr>
        <w:t xml:space="preserve"> yang dipengaruhi akibat dari adanya </w:t>
      </w:r>
      <w:r>
        <w:rPr>
          <w:rFonts w:ascii="Times New Roman" w:hAnsi="Times New Roman" w:cs="Times New Roman"/>
          <w:i/>
          <w:sz w:val="24"/>
          <w:szCs w:val="24"/>
        </w:rPr>
        <w:t>variabel</w:t>
      </w:r>
      <w:r>
        <w:rPr>
          <w:rFonts w:ascii="Times New Roman" w:hAnsi="Times New Roman" w:cs="Times New Roman"/>
          <w:sz w:val="24"/>
          <w:szCs w:val="24"/>
        </w:rPr>
        <w:t xml:space="preserve"> bebas, dalam penelitian ini variabel dependennya adalah nilai perusahaan(Asmawi, 2018) . Variabel dependen pada penelitian ini adalah Nilai Perusahaan.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Untuk memudahkan pemahaman dan memperjelas maksud dari </w:t>
      </w:r>
      <w:r>
        <w:rPr>
          <w:rFonts w:ascii="Times New Roman" w:hAnsi="Times New Roman" w:cs="Times New Roman"/>
          <w:i/>
          <w:sz w:val="24"/>
          <w:szCs w:val="24"/>
        </w:rPr>
        <w:t xml:space="preserve">variabel-variabel </w:t>
      </w:r>
      <w:r>
        <w:rPr>
          <w:rFonts w:ascii="Times New Roman" w:hAnsi="Times New Roman" w:cs="Times New Roman"/>
          <w:sz w:val="24"/>
          <w:szCs w:val="24"/>
        </w:rPr>
        <w:t xml:space="preserve">penelitian, maka dilakukan operasionalisasi </w:t>
      </w:r>
      <w:r>
        <w:rPr>
          <w:rFonts w:ascii="Times New Roman" w:hAnsi="Times New Roman" w:cs="Times New Roman"/>
          <w:i/>
          <w:sz w:val="24"/>
          <w:szCs w:val="24"/>
        </w:rPr>
        <w:t>variabel</w:t>
      </w:r>
      <w:r>
        <w:rPr>
          <w:rFonts w:ascii="Times New Roman" w:hAnsi="Times New Roman" w:cs="Times New Roman"/>
          <w:sz w:val="24"/>
          <w:szCs w:val="24"/>
        </w:rPr>
        <w:t xml:space="preserve"> sebagai berikut.</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3.1</w:t>
      </w:r>
    </w:p>
    <w:p>
      <w:pPr>
        <w:tabs>
          <w:tab w:val="left" w:pos="90"/>
        </w:tabs>
        <w:ind w:firstLine="0"/>
        <w:jc w:val="center"/>
        <w:rPr>
          <w:rFonts w:ascii="Times New Roman" w:hAnsi="Times New Roman" w:cs="Times New Roman"/>
          <w:b/>
          <w:sz w:val="24"/>
          <w:szCs w:val="24"/>
        </w:rPr>
      </w:pPr>
      <w:r>
        <w:rPr>
          <w:rFonts w:ascii="Times New Roman" w:hAnsi="Times New Roman" w:cs="Times New Roman"/>
          <w:b/>
          <w:sz w:val="24"/>
          <w:szCs w:val="24"/>
        </w:rPr>
        <w:t>Operasionalisasi Variable</w:t>
      </w:r>
    </w:p>
    <w:tbl>
      <w:tblPr>
        <w:tblStyle w:val="15"/>
        <w:tblW w:w="980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6"/>
        <w:gridCol w:w="1513"/>
        <w:gridCol w:w="5645"/>
        <w:gridCol w:w="8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5" w:hRule="atLeast"/>
          <w:jc w:val="center"/>
        </w:trPr>
        <w:tc>
          <w:tcPr>
            <w:tcW w:w="183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Variabel</w:t>
            </w:r>
          </w:p>
        </w:tc>
        <w:tc>
          <w:tcPr>
            <w:tcW w:w="1513" w:type="dxa"/>
            <w:tcBorders>
              <w:top w:val="single" w:color="000000" w:themeColor="text1" w:sz="4" w:space="0"/>
              <w:left w:val="single" w:color="000000" w:themeColor="text1" w:sz="4" w:space="0"/>
              <w:bottom w:val="single" w:color="000000" w:themeColor="text1" w:sz="4" w:space="0"/>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Sub Variabel</w:t>
            </w:r>
          </w:p>
        </w:tc>
        <w:tc>
          <w:tcPr>
            <w:tcW w:w="5645" w:type="dxa"/>
            <w:tcBorders>
              <w:top w:val="single" w:color="000000" w:themeColor="text1" w:sz="4" w:space="0"/>
              <w:left w:val="single" w:color="auto" w:sz="4" w:space="0"/>
              <w:bottom w:val="single" w:color="000000" w:themeColor="text1"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Rumus</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Skala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jc w:val="center"/>
        </w:trPr>
        <w:tc>
          <w:tcPr>
            <w:tcW w:w="1836" w:type="dxa"/>
            <w:tcBorders>
              <w:top w:val="single" w:color="000000" w:themeColor="text1" w:sz="4" w:space="0"/>
              <w:left w:val="single" w:color="000000" w:themeColor="text1"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X1:Investment Opportunity Set</w:t>
            </w: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8550"/>
              </w:tabs>
              <w:spacing w:before="0" w:beforeAutospacing="0" w:after="0" w:afterAutospacing="0" w:line="240" w:lineRule="auto"/>
              <w:ind w:left="0" w:right="0" w:firstLine="0"/>
              <w:rPr>
                <w:rFonts w:hint="eastAsia" w:ascii="Times New Roman" w:hAnsi="Times New Roman" w:cs="Times New Roman" w:eastAsiaTheme="minorEastAsia"/>
                <w:i/>
                <w:sz w:val="24"/>
                <w:szCs w:val="24"/>
              </w:rPr>
            </w:pPr>
          </w:p>
          <w:p>
            <w:pPr>
              <w:keepNext w:val="0"/>
              <w:keepLines w:val="0"/>
              <w:widowControl/>
              <w:suppressLineNumbers w:val="0"/>
              <w:tabs>
                <w:tab w:val="left" w:pos="8550"/>
              </w:tabs>
              <w:spacing w:before="0" w:beforeAutospacing="0" w:after="0" w:afterAutospacing="0" w:line="240" w:lineRule="auto"/>
              <w:ind w:left="0" w:right="0" w:firstLine="0"/>
              <w:rPr>
                <w:rFonts w:hint="eastAsia" w:ascii="Times New Roman" w:hAnsi="Times New Roman" w:cs="Times New Roman" w:eastAsiaTheme="minorEastAsia"/>
                <w:i/>
                <w:sz w:val="24"/>
                <w:szCs w:val="24"/>
              </w:rPr>
            </w:pPr>
          </w:p>
          <w:p>
            <w:pPr>
              <w:keepNext w:val="0"/>
              <w:keepLines w:val="0"/>
              <w:widowControl/>
              <w:suppressLineNumbers w:val="0"/>
              <w:tabs>
                <w:tab w:val="left" w:pos="8550"/>
              </w:tabs>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513" w:type="dxa"/>
            <w:tcBorders>
              <w:top w:val="single" w:color="000000" w:themeColor="text1" w:sz="4" w:space="0"/>
              <w:left w:val="single" w:color="000000" w:themeColor="text1" w:sz="4" w:space="0"/>
              <w:bottom w:val="single" w:color="auto" w:sz="4" w:space="0"/>
              <w:right w:val="single" w:color="auto" w:sz="4" w:space="0"/>
            </w:tcBorders>
          </w:tcPr>
          <w:p>
            <w:pPr>
              <w:keepNext w:val="0"/>
              <w:keepLines w:val="0"/>
              <w:widowControl/>
              <w:suppressLineNumbers w:val="0"/>
              <w:tabs>
                <w:tab w:val="left" w:pos="8550"/>
              </w:tabs>
              <w:spacing w:before="0" w:beforeAutospacing="0" w:after="0" w:afterAutospacing="0" w:line="240" w:lineRule="auto"/>
              <w:ind w:left="0" w:right="0" w:firstLine="0"/>
              <w:rPr>
                <w:rFonts w:hint="eastAsia" w:ascii="Times New Roman" w:hAnsi="Times New Roman" w:cs="Times New Roman"/>
                <w:sz w:val="24"/>
                <w:szCs w:val="24"/>
              </w:rPr>
            </w:pPr>
            <w:r>
              <w:rPr>
                <w:rFonts w:hint="eastAsia" w:ascii="Times New Roman" w:hAnsi="Times New Roman" w:cs="Times New Roman"/>
                <w:sz w:val="24"/>
                <w:szCs w:val="24"/>
              </w:rPr>
              <w:t>X1 :MBVE</w:t>
            </w:r>
          </w:p>
          <w:p>
            <w:pPr>
              <w:keepNext w:val="0"/>
              <w:keepLines w:val="0"/>
              <w:widowControl/>
              <w:suppressLineNumbers w:val="0"/>
              <w:tabs>
                <w:tab w:val="left" w:pos="855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720" w:right="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720" w:right="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720" w:right="0"/>
              <w:rPr>
                <w:rFonts w:hint="eastAsia" w:ascii="Times New Roman" w:hAnsi="Times New Roman" w:cs="Times New Roman"/>
                <w:sz w:val="20"/>
                <w:szCs w:val="20"/>
              </w:rPr>
            </w:pPr>
          </w:p>
          <w:p>
            <w:pPr>
              <w:keepNext w:val="0"/>
              <w:keepLines w:val="0"/>
              <w:widowControl/>
              <w:suppressLineNumbers w:val="0"/>
              <w:tabs>
                <w:tab w:val="left" w:pos="90"/>
                <w:tab w:val="left" w:pos="720"/>
              </w:tabs>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eastAsiaTheme="minorEastAsia"/>
                <w:sz w:val="24"/>
                <w:szCs w:val="24"/>
              </w:rPr>
            </w:pPr>
            <w:r>
              <w:rPr>
                <w:rFonts w:hint="eastAsia" w:ascii="Times New Roman" w:hAnsi="Times New Roman" w:cs="Times New Roman"/>
                <w:sz w:val="24"/>
                <w:szCs w:val="24"/>
              </w:rPr>
              <w:t>X2: CAPBVA</w:t>
            </w:r>
          </w:p>
          <w:p>
            <w:pPr>
              <w:pStyle w:val="23"/>
              <w:keepNext w:val="0"/>
              <w:keepLines w:val="0"/>
              <w:widowControl/>
              <w:suppressLineNumbers w:val="0"/>
              <w:tabs>
                <w:tab w:val="left" w:pos="90"/>
                <w:tab w:val="left" w:pos="720"/>
              </w:tabs>
              <w:spacing w:before="0" w:beforeAutospacing="0" w:after="0" w:afterAutospacing="0" w:line="240" w:lineRule="auto"/>
              <w:ind w:right="0"/>
              <w:rPr>
                <w:rFonts w:hint="eastAsia" w:ascii="Times New Roman" w:hAnsi="Times New Roman" w:cs="Times New Roman"/>
                <w:sz w:val="20"/>
                <w:szCs w:val="20"/>
              </w:rPr>
            </w:pPr>
          </w:p>
          <w:p>
            <w:pPr>
              <w:pStyle w:val="23"/>
              <w:keepNext w:val="0"/>
              <w:keepLines w:val="0"/>
              <w:widowControl/>
              <w:suppressLineNumbers w:val="0"/>
              <w:tabs>
                <w:tab w:val="left" w:pos="90"/>
                <w:tab w:val="left" w:pos="720"/>
              </w:tabs>
              <w:spacing w:before="0" w:beforeAutospacing="0" w:after="0" w:afterAutospacing="0" w:line="240" w:lineRule="auto"/>
              <w:ind w:right="0"/>
              <w:rPr>
                <w:rFonts w:hint="eastAsia" w:ascii="Times New Roman" w:hAnsi="Times New Roman" w:cs="Times New Roman"/>
                <w:sz w:val="24"/>
                <w:szCs w:val="24"/>
              </w:rPr>
            </w:pPr>
          </w:p>
        </w:tc>
        <w:tc>
          <w:tcPr>
            <w:tcW w:w="5645" w:type="dxa"/>
            <w:tcBorders>
              <w:top w:val="single" w:color="000000" w:themeColor="text1" w:sz="4" w:space="0"/>
              <w:left w:val="single" w:color="auto" w:sz="4" w:space="0"/>
              <w:bottom w:val="single" w:color="auto" w:sz="4" w:space="0"/>
              <w:right w:val="single" w:color="000000" w:themeColor="text1" w:sz="4" w:space="0"/>
            </w:tcBorders>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tabs>
                <w:tab w:val="left" w:pos="8550"/>
              </w:tabs>
              <w:spacing w:before="0" w:beforeAutospacing="0" w:after="0" w:afterAutospacing="0" w:line="240" w:lineRule="auto"/>
              <w:ind w:left="0" w:right="0" w:firstLine="0"/>
              <w:jc w:val="center"/>
              <w:rPr>
                <w:rFonts w:hint="eastAsia" w:ascii="Times New Roman" w:hAnsi="Times New Roman" w:cs="Times New Roman" w:eastAsiaTheme="minorEastAsia"/>
                <w:sz w:val="24"/>
                <w:szCs w:val="24"/>
              </w:rPr>
            </w:pPr>
            <m:oMathPara>
              <m:oMath>
                <m:f>
                  <m:fPr>
                    <m:ctrlPr>
                      <w:rPr>
                        <w:rFonts w:hint="eastAsia" w:ascii="Cambria Math" w:hAnsi="Times New Roman" w:cs="Times New Roman"/>
                        <w:i/>
                        <w:sz w:val="24"/>
                        <w:szCs w:val="24"/>
                      </w:rPr>
                    </m:ctrlPr>
                  </m:fPr>
                  <m:num>
                    <m:r>
                      <m:rPr>
                        <m:sty m:val="p"/>
                      </m:rPr>
                      <w:rPr>
                        <w:rFonts w:hint="eastAsia" w:ascii="Cambria Math" w:hAnsi="Times New Roman" w:cs="Times New Roman"/>
                        <w:sz w:val="24"/>
                        <w:szCs w:val="24"/>
                      </w:rPr>
                      <m:t>Jumlah Saham Beredar X Harga Penutupan Saham</m:t>
                    </m:r>
                    <m:ctrlPr>
                      <w:rPr>
                        <w:rFonts w:hint="eastAsia" w:ascii="Cambria Math" w:hAnsi="Times New Roman" w:cs="Times New Roman"/>
                        <w:i/>
                        <w:sz w:val="24"/>
                        <w:szCs w:val="24"/>
                      </w:rPr>
                    </m:ctrlPr>
                  </m:num>
                  <m:den>
                    <m:r>
                      <m:rPr>
                        <m:sty m:val="p"/>
                      </m:rPr>
                      <w:rPr>
                        <w:rFonts w:hint="eastAsia" w:ascii="Cambria Math" w:hAnsi="Times New Roman" w:cs="Times New Roman"/>
                        <w:sz w:val="24"/>
                        <w:szCs w:val="24"/>
                      </w:rPr>
                      <m:t>Total Equity</m:t>
                    </m:r>
                    <m:ctrlPr>
                      <w:rPr>
                        <w:rFonts w:hint="eastAsia" w:ascii="Cambria Math" w:hAnsi="Times New Roman" w:cs="Times New Roman"/>
                        <w:i/>
                        <w:sz w:val="24"/>
                        <w:szCs w:val="24"/>
                      </w:rPr>
                    </m:ctrlPr>
                  </m:den>
                </m:f>
              </m:oMath>
            </m:oMathPara>
          </w:p>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eastAsiaTheme="minorEastAsia"/>
                <w:sz w:val="24"/>
                <w:szCs w:val="24"/>
              </w:rPr>
            </w:pPr>
            <m:oMathPara>
              <m:oMath>
                <m:f>
                  <m:fPr>
                    <m:ctrlPr>
                      <w:rPr>
                        <w:rFonts w:hint="eastAsia" w:ascii="Cambria Math" w:hAnsi="Times New Roman" w:cs="Times New Roman"/>
                        <w:sz w:val="24"/>
                        <w:szCs w:val="24"/>
                      </w:rPr>
                    </m:ctrlPr>
                  </m:fPr>
                  <m:num>
                    <m:r>
                      <m:rPr>
                        <m:sty m:val="p"/>
                      </m:rPr>
                      <w:rPr>
                        <w:rFonts w:hint="eastAsia" w:ascii="Cambria Math" w:hAnsi="Times New Roman" w:cs="Times New Roman"/>
                        <w:sz w:val="24"/>
                        <w:szCs w:val="24"/>
                      </w:rPr>
                      <m:t>Ni.buku Aktiva  tetapt−Ni.buku Aktiva tetapt−i</m:t>
                    </m:r>
                    <m:ctrlPr>
                      <w:rPr>
                        <w:rFonts w:hint="eastAsia" w:ascii="Cambria Math" w:hAnsi="Times New Roman" w:cs="Times New Roman"/>
                        <w:sz w:val="24"/>
                        <w:szCs w:val="24"/>
                      </w:rPr>
                    </m:ctrlPr>
                  </m:num>
                  <m:den>
                    <m:r>
                      <m:rPr>
                        <m:sty m:val="p"/>
                      </m:rPr>
                      <w:rPr>
                        <w:rFonts w:hint="eastAsia" w:ascii="Cambria Math" w:hAnsi="Times New Roman" w:cs="Times New Roman"/>
                        <w:sz w:val="24"/>
                        <w:szCs w:val="24"/>
                      </w:rPr>
                      <m:t>total aktiva</m:t>
                    </m:r>
                    <m:ctrlPr>
                      <w:rPr>
                        <w:rFonts w:hint="eastAsia" w:ascii="Cambria Math" w:hAnsi="Times New Roman" w:cs="Times New Roman"/>
                        <w:sz w:val="24"/>
                        <w:szCs w:val="24"/>
                      </w:rPr>
                    </m:ctrlPr>
                  </m:den>
                </m:f>
              </m:oMath>
            </m:oMathPara>
          </w:p>
          <w:p>
            <w:pPr>
              <w:pStyle w:val="23"/>
              <w:keepNext w:val="0"/>
              <w:keepLines w:val="0"/>
              <w:widowControl/>
              <w:suppressLineNumbers w:val="0"/>
              <w:tabs>
                <w:tab w:val="left" w:pos="90"/>
                <w:tab w:val="left" w:pos="720"/>
              </w:tabs>
              <w:spacing w:before="0" w:beforeAutospacing="0" w:after="0" w:afterAutospacing="0" w:line="240" w:lineRule="auto"/>
              <w:ind w:right="0"/>
              <w:jc w:val="center"/>
              <w:rPr>
                <w:rFonts w:hint="eastAsia" w:ascii="Times New Roman" w:hAnsi="Times New Roman" w:cs="Times New Roman"/>
                <w:sz w:val="24"/>
                <w:szCs w:val="24"/>
              </w:rPr>
            </w:pPr>
          </w:p>
          <w:p>
            <w:pPr>
              <w:pStyle w:val="23"/>
              <w:keepNext w:val="0"/>
              <w:keepLines w:val="0"/>
              <w:widowControl/>
              <w:suppressLineNumbers w:val="0"/>
              <w:tabs>
                <w:tab w:val="left" w:pos="90"/>
                <w:tab w:val="left" w:pos="720"/>
              </w:tabs>
              <w:spacing w:before="0" w:beforeAutospacing="0" w:after="0" w:afterAutospacing="0" w:line="240" w:lineRule="auto"/>
              <w:ind w:right="0"/>
              <w:jc w:val="center"/>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tc>
        <w:tc>
          <w:tcPr>
            <w:tcW w:w="810" w:type="dxa"/>
            <w:tcBorders>
              <w:top w:val="single" w:color="000000" w:themeColor="text1" w:sz="4" w:space="0"/>
              <w:left w:val="single" w:color="000000" w:themeColor="text1"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Rasio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jc w:val="center"/>
        </w:trPr>
        <w:tc>
          <w:tcPr>
            <w:tcW w:w="1836" w:type="dxa"/>
            <w:tcBorders>
              <w:top w:val="single" w:color="auto" w:sz="4" w:space="0"/>
              <w:left w:val="single" w:color="auto" w:sz="4" w:space="0"/>
              <w:bottom w:val="nil"/>
              <w:right w:val="single" w:color="auto" w:sz="4" w:space="0"/>
            </w:tcBorders>
          </w:tcPr>
          <w:p>
            <w:pPr>
              <w:keepNext w:val="0"/>
              <w:keepLines w:val="0"/>
              <w:widowControl/>
              <w:suppressLineNumbers w:val="0"/>
              <w:tabs>
                <w:tab w:val="left" w:pos="8550"/>
              </w:tabs>
              <w:spacing w:before="0" w:beforeAutospacing="0" w:after="0" w:afterAutospacing="0" w:line="240" w:lineRule="auto"/>
              <w:ind w:left="0" w:right="0" w:firstLine="0"/>
              <w:rPr>
                <w:rFonts w:hint="eastAsia" w:ascii="Times New Roman" w:hAnsi="Times New Roman" w:cs="Times New Roman"/>
                <w:i/>
                <w:sz w:val="24"/>
                <w:szCs w:val="24"/>
              </w:rPr>
            </w:pPr>
          </w:p>
        </w:tc>
        <w:tc>
          <w:tcPr>
            <w:tcW w:w="1513" w:type="dxa"/>
            <w:vMerge w:val="restart"/>
            <w:tcBorders>
              <w:top w:val="single" w:color="auto" w:sz="4" w:space="0"/>
              <w:left w:val="single" w:color="auto" w:sz="4" w:space="0"/>
              <w:right w:val="single" w:color="auto" w:sz="4" w:space="0"/>
            </w:tcBorders>
          </w:tcPr>
          <w:p>
            <w:pPr>
              <w:keepNext w:val="0"/>
              <w:keepLines w:val="0"/>
              <w:widowControl/>
              <w:suppressLineNumbers w:val="0"/>
              <w:tabs>
                <w:tab w:val="left" w:pos="72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720"/>
              </w:tabs>
              <w:spacing w:before="0" w:beforeAutospacing="0" w:after="0" w:afterAutospacing="0" w:line="240" w:lineRule="auto"/>
              <w:ind w:left="0" w:right="0" w:firstLine="0"/>
              <w:rPr>
                <w:rFonts w:hint="eastAsia" w:ascii="Times New Roman" w:hAnsi="Times New Roman" w:cs="Times New Roman"/>
                <w:i/>
                <w:sz w:val="24"/>
                <w:szCs w:val="24"/>
              </w:rPr>
            </w:pPr>
            <w:r>
              <w:rPr>
                <w:rFonts w:hint="eastAsia" w:ascii="Times New Roman" w:hAnsi="Times New Roman" w:cs="Times New Roman"/>
                <w:sz w:val="24"/>
                <w:szCs w:val="24"/>
              </w:rPr>
              <w:t>X3 : CSRIj</w:t>
            </w:r>
          </w:p>
        </w:tc>
        <w:tc>
          <w:tcPr>
            <w:tcW w:w="5645" w:type="dxa"/>
            <w:vMerge w:val="restart"/>
            <w:tcBorders>
              <w:top w:val="single" w:color="auto" w:sz="4" w:space="0"/>
              <w:left w:val="single" w:color="auto" w:sz="4" w:space="0"/>
              <w:right w:val="single" w:color="auto" w:sz="4" w:space="0"/>
            </w:tcBorders>
          </w:tcPr>
          <w:p>
            <w:pPr>
              <w:keepNext w:val="0"/>
              <w:keepLines w:val="0"/>
              <w:widowControl/>
              <w:suppressLineNumbers w:val="0"/>
              <w:tabs>
                <w:tab w:val="left" w:pos="720"/>
              </w:tabs>
              <w:spacing w:before="0" w:beforeAutospacing="0" w:after="0" w:afterAutospacing="0" w:line="240" w:lineRule="auto"/>
              <w:ind w:left="0" w:right="0" w:firstLine="0"/>
              <w:jc w:val="center"/>
              <w:rPr>
                <w:rFonts w:hint="eastAsia" w:ascii="Times New Roman" w:hAnsi="Times New Roman" w:cs="Times New Roman" w:eastAsiaTheme="minorEastAsia"/>
                <w:sz w:val="24"/>
                <w:szCs w:val="24"/>
              </w:rPr>
            </w:pPr>
            <m:oMathPara>
              <m:oMath>
                <m:f>
                  <m:fPr>
                    <m:ctrlPr>
                      <w:rPr>
                        <w:rFonts w:hint="eastAsia" w:ascii="Cambria Math" w:hAnsi="Times New Roman" w:cs="Times New Roman"/>
                        <w:sz w:val="24"/>
                        <w:szCs w:val="24"/>
                      </w:rPr>
                    </m:ctrlPr>
                  </m:fPr>
                  <m:num>
                    <m:nary>
                      <m:naryPr>
                        <m:chr m:val="∑"/>
                        <m:limLoc m:val="undOvr"/>
                        <m:subHide m:val="1"/>
                        <m:supHide m:val="1"/>
                        <m:ctrlPr>
                          <w:rPr>
                            <w:rFonts w:hint="eastAsia" w:ascii="Cambria Math" w:hAnsi="Times New Roman" w:cs="Times New Roman"/>
                            <w:sz w:val="24"/>
                            <w:szCs w:val="24"/>
                          </w:rPr>
                        </m:ctrlPr>
                      </m:naryPr>
                      <m:sub>
                        <m:ctrlPr>
                          <w:rPr>
                            <w:rFonts w:hint="eastAsia" w:ascii="Cambria Math" w:hAnsi="Times New Roman" w:cs="Times New Roman"/>
                            <w:sz w:val="24"/>
                            <w:szCs w:val="24"/>
                          </w:rPr>
                        </m:ctrlPr>
                      </m:sub>
                      <m:sup>
                        <m:ctrlPr>
                          <w:rPr>
                            <w:rFonts w:hint="eastAsia" w:ascii="Cambria Math" w:hAnsi="Times New Roman" w:cs="Times New Roman"/>
                            <w:sz w:val="24"/>
                            <w:szCs w:val="24"/>
                          </w:rPr>
                        </m:ctrlPr>
                      </m:sup>
                      <m:e>
                        <m:r>
                          <m:rPr>
                            <m:sty m:val="p"/>
                          </m:rPr>
                          <w:rPr>
                            <w:rFonts w:hint="eastAsia" w:ascii="Cambria Math" w:hAnsi="Times New Roman" w:cs="Times New Roman"/>
                            <w:sz w:val="24"/>
                            <w:szCs w:val="24"/>
                          </w:rPr>
                          <m:t>XiJ</m:t>
                        </m:r>
                        <m:ctrlPr>
                          <w:rPr>
                            <w:rFonts w:hint="eastAsia" w:ascii="Cambria Math" w:hAnsi="Times New Roman" w:cs="Times New Roman"/>
                            <w:sz w:val="24"/>
                            <w:szCs w:val="24"/>
                          </w:rPr>
                        </m:ctrlPr>
                      </m:e>
                    </m:nary>
                    <m:ctrlPr>
                      <w:rPr>
                        <w:rFonts w:hint="eastAsia" w:ascii="Cambria Math" w:hAnsi="Times New Roman" w:cs="Times New Roman"/>
                        <w:sz w:val="24"/>
                        <w:szCs w:val="24"/>
                      </w:rPr>
                    </m:ctrlPr>
                  </m:num>
                  <m:den>
                    <m:r>
                      <m:rPr>
                        <m:sty m:val="p"/>
                      </m:rPr>
                      <w:rPr>
                        <w:rFonts w:hint="eastAsia" w:ascii="Cambria Math" w:hAnsi="Times New Roman" w:cs="Times New Roman"/>
                        <w:sz w:val="24"/>
                        <w:szCs w:val="24"/>
                      </w:rPr>
                      <m:t>n</m:t>
                    </m:r>
                    <m:ctrlPr>
                      <w:rPr>
                        <w:rFonts w:hint="eastAsia" w:ascii="Cambria Math" w:hAnsi="Times New Roman" w:cs="Times New Roman"/>
                        <w:sz w:val="24"/>
                        <w:szCs w:val="24"/>
                      </w:rPr>
                    </m:ctrlPr>
                  </m:den>
                </m:f>
              </m:oMath>
            </m:oMathPara>
          </w:p>
          <w:p>
            <w:pPr>
              <w:keepNext w:val="0"/>
              <w:keepLines w:val="0"/>
              <w:widowControl/>
              <w:suppressLineNumbers w:val="0"/>
              <w:tabs>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810" w:type="dxa"/>
            <w:vMerge w:val="restart"/>
            <w:tcBorders>
              <w:top w:val="nil"/>
              <w:left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i/>
                <w:sz w:val="24"/>
                <w:szCs w:val="24"/>
              </w:rPr>
            </w:pPr>
            <w:r>
              <w:rPr>
                <w:rFonts w:hint="eastAsia" w:ascii="Times New Roman" w:hAnsi="Times New Roman" w:cs="Times New Roman"/>
                <w:sz w:val="24"/>
                <w:szCs w:val="24"/>
              </w:rPr>
              <w:t>Rasio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9" w:hRule="atLeast"/>
          <w:jc w:val="center"/>
        </w:trPr>
        <w:tc>
          <w:tcPr>
            <w:tcW w:w="1836" w:type="dxa"/>
            <w:tcBorders>
              <w:top w:val="nil"/>
              <w:left w:val="single" w:color="auto" w:sz="4" w:space="0"/>
              <w:bottom w:val="single" w:color="000000" w:themeColor="text1" w:sz="4" w:space="0"/>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X2:</w:t>
            </w:r>
            <w:r>
              <w:rPr>
                <w:rFonts w:hint="eastAsia" w:ascii="Times New Roman" w:hAnsi="Times New Roman" w:cs="Times New Roman"/>
                <w:i/>
                <w:sz w:val="24"/>
                <w:szCs w:val="24"/>
              </w:rPr>
              <w:t>Corporate Social Responsibility</w:t>
            </w: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513" w:type="dxa"/>
            <w:vMerge w:val="continue"/>
            <w:tcBorders>
              <w:left w:val="single" w:color="auto" w:sz="4" w:space="0"/>
              <w:bottom w:val="single" w:color="auto" w:sz="4" w:space="0"/>
              <w:right w:val="single" w:color="auto" w:sz="4" w:space="0"/>
            </w:tcBorders>
          </w:tcPr>
          <w:p>
            <w:pPr>
              <w:keepNext w:val="0"/>
              <w:keepLines w:val="0"/>
              <w:widowControl/>
              <w:suppressLineNumbers w:val="0"/>
              <w:tabs>
                <w:tab w:val="left" w:pos="720"/>
              </w:tabs>
              <w:spacing w:before="0" w:beforeAutospacing="0" w:after="0" w:afterAutospacing="0" w:line="240" w:lineRule="auto"/>
              <w:ind w:left="0" w:right="0"/>
              <w:jc w:val="center"/>
              <w:rPr>
                <w:rFonts w:hint="eastAsia" w:ascii="Times New Roman" w:hAnsi="Times New Roman" w:cs="Times New Roman" w:eastAsiaTheme="minorEastAsia"/>
                <w:sz w:val="24"/>
                <w:szCs w:val="24"/>
              </w:rPr>
            </w:pPr>
          </w:p>
        </w:tc>
        <w:tc>
          <w:tcPr>
            <w:tcW w:w="5645" w:type="dxa"/>
            <w:vMerge w:val="continue"/>
            <w:tcBorders>
              <w:left w:val="single" w:color="auto" w:sz="4" w:space="0"/>
              <w:bottom w:val="single" w:color="auto" w:sz="4" w:space="0"/>
              <w:right w:val="single" w:color="auto" w:sz="4" w:space="0"/>
            </w:tcBorders>
          </w:tcPr>
          <w:p>
            <w:pPr>
              <w:keepNext w:val="0"/>
              <w:keepLines w:val="0"/>
              <w:widowControl/>
              <w:suppressLineNumbers w:val="0"/>
              <w:tabs>
                <w:tab w:val="left" w:pos="720"/>
              </w:tabs>
              <w:spacing w:before="0" w:beforeAutospacing="0" w:after="0" w:afterAutospacing="0" w:line="240" w:lineRule="auto"/>
              <w:ind w:left="0" w:right="0"/>
              <w:jc w:val="center"/>
              <w:rPr>
                <w:rFonts w:hint="eastAsia" w:ascii="Times New Roman" w:hAnsi="Times New Roman" w:cs="Times New Roman" w:eastAsiaTheme="minorEastAsia"/>
                <w:sz w:val="24"/>
                <w:szCs w:val="24"/>
              </w:rPr>
            </w:pPr>
          </w:p>
        </w:tc>
        <w:tc>
          <w:tcPr>
            <w:tcW w:w="810" w:type="dxa"/>
            <w:vMerge w:val="continue"/>
            <w:tcBorders>
              <w:left w:val="single" w:color="auto"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rPr>
                <w:rFonts w:hint="eastAsia" w:ascii="Times New Roman" w:hAnsi="Times New Roman" w:cs="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 w:hRule="atLeast"/>
          <w:jc w:val="center"/>
        </w:trPr>
        <w:tc>
          <w:tcPr>
            <w:tcW w:w="1836" w:type="dxa"/>
            <w:tcBorders>
              <w:top w:val="nil"/>
              <w:left w:val="single" w:color="auto" w:sz="4" w:space="0"/>
              <w:bottom w:val="nil"/>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tc>
        <w:tc>
          <w:tcPr>
            <w:tcW w:w="1513" w:type="dxa"/>
            <w:tcBorders>
              <w:top w:val="nil"/>
              <w:left w:val="single" w:color="auto" w:sz="4" w:space="0"/>
              <w:bottom w:val="nil"/>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tc>
        <w:tc>
          <w:tcPr>
            <w:tcW w:w="5645" w:type="dxa"/>
            <w:tcBorders>
              <w:top w:val="nil"/>
              <w:left w:val="single" w:color="auto" w:sz="4" w:space="0"/>
              <w:bottom w:val="nil"/>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810" w:type="dxa"/>
            <w:tcBorders>
              <w:top w:val="single" w:color="auto" w:sz="4" w:space="0"/>
              <w:left w:val="single" w:color="auto" w:sz="4" w:space="0"/>
              <w:bottom w:val="nil"/>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8" w:hRule="atLeast"/>
          <w:jc w:val="center"/>
        </w:trPr>
        <w:tc>
          <w:tcPr>
            <w:tcW w:w="1836" w:type="dxa"/>
            <w:tcBorders>
              <w:top w:val="nil"/>
              <w:left w:val="single" w:color="auto" w:sz="4" w:space="0"/>
              <w:bottom w:val="single" w:color="auto" w:sz="4" w:space="0"/>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X3:Risiko Bisnis</w:t>
            </w:r>
          </w:p>
          <w:p>
            <w:pPr>
              <w:keepNext w:val="0"/>
              <w:keepLines w:val="0"/>
              <w:widowControl/>
              <w:suppressLineNumbers w:val="0"/>
              <w:spacing w:before="0" w:beforeAutospacing="0" w:after="0" w:afterAutospacing="0" w:line="240" w:lineRule="auto"/>
              <w:ind w:left="0" w:right="0" w:firstLine="720"/>
              <w:rPr>
                <w:rFonts w:hint="eastAsia" w:ascii="Times New Roman" w:hAnsi="Times New Roman" w:cs="Times New Roman"/>
                <w:i/>
                <w:sz w:val="24"/>
                <w:szCs w:val="24"/>
              </w:rPr>
            </w:pPr>
          </w:p>
          <w:p>
            <w:pPr>
              <w:keepNext w:val="0"/>
              <w:keepLines w:val="0"/>
              <w:widowControl/>
              <w:suppressLineNumbers w:val="0"/>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spacing w:before="0" w:beforeAutospacing="0" w:after="0" w:afterAutospacing="0" w:line="240" w:lineRule="auto"/>
              <w:ind w:left="0" w:right="0" w:firstLine="0"/>
              <w:rPr>
                <w:rFonts w:hint="eastAsia" w:ascii="Times New Roman" w:hAnsi="Times New Roman" w:cs="Times New Roman"/>
                <w:sz w:val="24"/>
                <w:szCs w:val="24"/>
              </w:rPr>
            </w:pPr>
          </w:p>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513" w:type="dxa"/>
            <w:tcBorders>
              <w:top w:val="nil"/>
              <w:left w:val="single" w:color="auto" w:sz="4" w:space="0"/>
              <w:bottom w:val="single" w:color="auto" w:sz="4" w:space="0"/>
              <w:right w:val="single" w:color="auto"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r>
              <w:rPr>
                <w:rFonts w:hint="eastAsia" w:ascii="Times New Roman" w:hAnsi="Times New Roman" w:cs="Times New Roman"/>
                <w:sz w:val="24"/>
                <w:szCs w:val="24"/>
              </w:rPr>
              <w:t xml:space="preserve">X4 : BRISK   </w:t>
            </w:r>
          </w:p>
        </w:tc>
        <w:tc>
          <w:tcPr>
            <w:tcW w:w="5645" w:type="dxa"/>
            <w:tcBorders>
              <w:top w:val="nil"/>
              <w:left w:val="single" w:color="auto" w:sz="4" w:space="0"/>
              <w:bottom w:val="single" w:color="auto" w:sz="4" w:space="0"/>
              <w:right w:val="single" w:color="auto" w:sz="4" w:space="0"/>
            </w:tcBorders>
          </w:tcPr>
          <w:p>
            <w:pPr>
              <w:pStyle w:val="23"/>
              <w:keepNext w:val="0"/>
              <w:keepLines w:val="0"/>
              <w:widowControl/>
              <w:suppressLineNumbers w:val="0"/>
              <w:tabs>
                <w:tab w:val="left" w:pos="90"/>
                <w:tab w:val="left" w:pos="720"/>
              </w:tabs>
              <w:spacing w:before="0" w:beforeAutospacing="0" w:after="0" w:afterAutospacing="0" w:line="240" w:lineRule="auto"/>
              <w:ind w:right="0"/>
              <w:jc w:val="center"/>
              <w:rPr>
                <w:rFonts w:hint="eastAsia" w:ascii="Times New Roman" w:hAnsi="Times New Roman" w:cs="Times New Roman"/>
                <w:sz w:val="24"/>
                <w:szCs w:val="24"/>
              </w:rPr>
            </w:pPr>
            <m:oMath>
              <m:f>
                <m:fPr>
                  <m:ctrlPr>
                    <w:rPr>
                      <w:rFonts w:hint="eastAsia" w:ascii="Cambria Math" w:hAnsi="Times New Roman" w:cs="Times New Roman"/>
                      <w:i/>
                      <w:sz w:val="24"/>
                      <w:szCs w:val="24"/>
                    </w:rPr>
                  </m:ctrlPr>
                </m:fPr>
                <m:num>
                  <m:r>
                    <m:rPr/>
                    <w:rPr>
                      <w:rFonts w:hint="eastAsia" w:ascii="Cambria Math" w:hAnsi="Cambria Math" w:cs="Times New Roman"/>
                      <w:sz w:val="24"/>
                      <w:szCs w:val="24"/>
                    </w:rPr>
                    <m:t>EBIT</m:t>
                  </m:r>
                  <m:ctrlPr>
                    <w:rPr>
                      <w:rFonts w:hint="eastAsia" w:ascii="Cambria Math" w:hAnsi="Times New Roman" w:cs="Times New Roman"/>
                      <w:i/>
                      <w:sz w:val="24"/>
                      <w:szCs w:val="24"/>
                    </w:rPr>
                  </m:ctrlPr>
                </m:num>
                <m:den>
                  <m:r>
                    <m:rPr/>
                    <w:rPr>
                      <w:rFonts w:hint="eastAsia" w:ascii="Cambria Math" w:hAnsi="Cambria Math" w:cs="Times New Roman"/>
                      <w:sz w:val="24"/>
                      <w:szCs w:val="24"/>
                    </w:rPr>
                    <m:t>TOTALASET</m:t>
                  </m:r>
                  <m:ctrlPr>
                    <w:rPr>
                      <w:rFonts w:hint="eastAsia" w:ascii="Cambria Math" w:hAnsi="Times New Roman" w:cs="Times New Roman"/>
                      <w:i/>
                      <w:sz w:val="24"/>
                      <w:szCs w:val="24"/>
                    </w:rPr>
                  </m:ctrlPr>
                </m:den>
              </m:f>
            </m:oMath>
            <w:r>
              <w:rPr>
                <w:rFonts w:hint="eastAsia" w:ascii="Times New Roman" w:hAnsi="Times New Roman" w:cs="Times New Roman" w:eastAsiaTheme="minorEastAsia"/>
                <w:sz w:val="24"/>
                <w:szCs w:val="24"/>
              </w:rPr>
              <w:t>X 100%</w:t>
            </w:r>
          </w:p>
        </w:tc>
        <w:tc>
          <w:tcPr>
            <w:tcW w:w="810" w:type="dxa"/>
            <w:tcBorders>
              <w:top w:val="nil"/>
              <w:left w:val="single" w:color="auto"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Rasio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9" w:hRule="atLeast"/>
          <w:jc w:val="center"/>
        </w:trPr>
        <w:tc>
          <w:tcPr>
            <w:tcW w:w="1836" w:type="dxa"/>
            <w:tcBorders>
              <w:top w:val="nil"/>
              <w:left w:val="single" w:color="auto"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r>
              <w:rPr>
                <w:rFonts w:hint="eastAsia" w:ascii="Times New Roman" w:hAnsi="Times New Roman" w:cs="Times New Roman"/>
                <w:sz w:val="24"/>
                <w:szCs w:val="24"/>
              </w:rPr>
              <w:t>Y:Nilai Perusahaan</w:t>
            </w:r>
          </w:p>
          <w:p>
            <w:pPr>
              <w:keepNext w:val="0"/>
              <w:keepLines w:val="0"/>
              <w:widowControl/>
              <w:suppressLineNumbers w:val="0"/>
              <w:tabs>
                <w:tab w:val="left" w:pos="90"/>
                <w:tab w:val="left" w:pos="720"/>
              </w:tabs>
              <w:spacing w:before="0" w:beforeAutospacing="0" w:after="0" w:afterAutospacing="0" w:line="240" w:lineRule="auto"/>
              <w:ind w:left="0" w:right="0" w:firstLine="0"/>
              <w:jc w:val="center"/>
              <w:rPr>
                <w:rFonts w:hint="eastAsia" w:ascii="Times New Roman" w:hAnsi="Times New Roman" w:cs="Times New Roman"/>
                <w:sz w:val="24"/>
                <w:szCs w:val="24"/>
              </w:rPr>
            </w:pPr>
          </w:p>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p>
        </w:tc>
        <w:tc>
          <w:tcPr>
            <w:tcW w:w="1513" w:type="dxa"/>
            <w:tcBorders>
              <w:top w:val="single" w:color="auto" w:sz="4" w:space="0"/>
              <w:left w:val="single" w:color="000000" w:themeColor="text1" w:sz="4" w:space="0"/>
              <w:bottom w:val="single" w:color="auto" w:sz="4" w:space="0"/>
              <w:right w:val="single" w:color="auto" w:sz="4" w:space="0"/>
            </w:tcBorders>
          </w:tcPr>
          <w:p>
            <w:pPr>
              <w:keepNext w:val="0"/>
              <w:keepLines w:val="0"/>
              <w:widowControl/>
              <w:suppressLineNumbers w:val="0"/>
              <w:tabs>
                <w:tab w:val="left" w:pos="90"/>
                <w:tab w:val="left" w:pos="720"/>
              </w:tabs>
              <w:spacing w:before="240" w:beforeAutospacing="0" w:after="0" w:afterAutospacing="0" w:line="240" w:lineRule="auto"/>
              <w:ind w:left="0" w:right="0" w:firstLine="0"/>
              <w:jc w:val="center"/>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PBV RATIO</w:t>
            </w:r>
          </w:p>
          <w:p>
            <w:pPr>
              <w:pStyle w:val="23"/>
              <w:keepNext w:val="0"/>
              <w:keepLines w:val="0"/>
              <w:widowControl/>
              <w:suppressLineNumbers w:val="0"/>
              <w:tabs>
                <w:tab w:val="left" w:pos="90"/>
                <w:tab w:val="left" w:pos="720"/>
              </w:tabs>
              <w:spacing w:before="0" w:beforeAutospacing="0" w:after="0" w:afterAutospacing="0" w:line="240" w:lineRule="auto"/>
              <w:ind w:left="255" w:right="0" w:firstLine="0"/>
              <w:rPr>
                <w:rFonts w:hint="eastAsia" w:ascii="Times New Roman" w:hAnsi="Times New Roman" w:cs="Times New Roman"/>
                <w:sz w:val="24"/>
                <w:szCs w:val="24"/>
              </w:rPr>
            </w:pPr>
          </w:p>
          <w:p>
            <w:pPr>
              <w:pStyle w:val="23"/>
              <w:keepNext w:val="0"/>
              <w:keepLines w:val="0"/>
              <w:widowControl/>
              <w:suppressLineNumbers w:val="0"/>
              <w:tabs>
                <w:tab w:val="left" w:pos="90"/>
                <w:tab w:val="left" w:pos="720"/>
              </w:tabs>
              <w:spacing w:before="0" w:beforeAutospacing="0" w:after="0" w:afterAutospacing="0" w:line="240" w:lineRule="auto"/>
              <w:ind w:left="255" w:right="0" w:firstLine="0"/>
              <w:rPr>
                <w:rFonts w:hint="eastAsia" w:ascii="Times New Roman" w:hAnsi="Times New Roman" w:cs="Times New Roman"/>
                <w:sz w:val="24"/>
                <w:szCs w:val="24"/>
              </w:rPr>
            </w:pPr>
          </w:p>
        </w:tc>
        <w:tc>
          <w:tcPr>
            <w:tcW w:w="5645" w:type="dxa"/>
            <w:tcBorders>
              <w:top w:val="single" w:color="auto" w:sz="4" w:space="0"/>
              <w:left w:val="single" w:color="auto"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240" w:beforeAutospacing="0" w:after="0" w:afterAutospacing="0" w:line="240" w:lineRule="auto"/>
              <w:ind w:left="0" w:right="0" w:firstLine="0"/>
              <w:jc w:val="center"/>
              <w:rPr>
                <w:rFonts w:hint="eastAsia" w:ascii="Times New Roman" w:hAnsi="Times New Roman" w:cs="Times New Roman" w:eastAsiaTheme="minorEastAsia"/>
                <w:sz w:val="24"/>
                <w:szCs w:val="24"/>
              </w:rPr>
            </w:pPr>
            <m:oMathPara>
              <m:oMathParaPr>
                <m:jc m:val="center"/>
              </m:oMathParaPr>
              <m:oMath>
                <m:f>
                  <m:fPr>
                    <m:ctrlPr>
                      <w:rPr>
                        <w:rFonts w:hint="eastAsia" w:ascii="Cambria Math" w:hAnsi="Times New Roman" w:cs="Times New Roman"/>
                        <w:sz w:val="24"/>
                        <w:szCs w:val="24"/>
                      </w:rPr>
                    </m:ctrlPr>
                  </m:fPr>
                  <m:num>
                    <m:r>
                      <m:rPr>
                        <m:sty m:val="p"/>
                      </m:rPr>
                      <w:rPr>
                        <w:rFonts w:hint="eastAsia" w:ascii="Cambria Math" w:hAnsi="Times New Roman" w:cs="Times New Roman"/>
                        <w:sz w:val="24"/>
                        <w:szCs w:val="24"/>
                      </w:rPr>
                      <m:t>harga pasar saham</m:t>
                    </m:r>
                    <m:ctrlPr>
                      <w:rPr>
                        <w:rFonts w:hint="eastAsia" w:ascii="Cambria Math" w:hAnsi="Times New Roman" w:cs="Times New Roman"/>
                        <w:sz w:val="24"/>
                        <w:szCs w:val="24"/>
                      </w:rPr>
                    </m:ctrlPr>
                  </m:num>
                  <m:den>
                    <m:r>
                      <m:rPr>
                        <m:sty m:val="p"/>
                      </m:rPr>
                      <w:rPr>
                        <w:rFonts w:hint="eastAsia" w:ascii="Cambria Math" w:hAnsi="Times New Roman" w:cs="Times New Roman"/>
                        <w:sz w:val="24"/>
                        <w:szCs w:val="24"/>
                      </w:rPr>
                      <m:t>nilai buku saham</m:t>
                    </m:r>
                    <m:ctrlPr>
                      <w:rPr>
                        <w:rFonts w:hint="eastAsia" w:ascii="Cambria Math" w:hAnsi="Times New Roman" w:cs="Times New Roman"/>
                        <w:sz w:val="24"/>
                        <w:szCs w:val="24"/>
                      </w:rPr>
                    </m:ctrlPr>
                  </m:den>
                </m:f>
              </m:oMath>
            </m:oMathPara>
          </w:p>
          <w:p>
            <w:pPr>
              <w:pStyle w:val="23"/>
              <w:keepNext w:val="0"/>
              <w:keepLines w:val="0"/>
              <w:widowControl/>
              <w:suppressLineNumbers w:val="0"/>
              <w:tabs>
                <w:tab w:val="left" w:pos="90"/>
                <w:tab w:val="left" w:pos="720"/>
              </w:tabs>
              <w:spacing w:before="0" w:beforeAutospacing="0" w:after="0" w:afterAutospacing="0" w:line="240" w:lineRule="auto"/>
              <w:ind w:left="255" w:right="0" w:firstLine="0"/>
              <w:jc w:val="center"/>
              <w:rPr>
                <w:rFonts w:hint="eastAsia" w:ascii="Times New Roman" w:hAnsi="Times New Roman" w:cs="Times New Roman"/>
                <w:sz w:val="24"/>
                <w:szCs w:val="24"/>
              </w:rPr>
            </w:pPr>
          </w:p>
          <w:p>
            <w:pPr>
              <w:pStyle w:val="23"/>
              <w:keepNext w:val="0"/>
              <w:keepLines w:val="0"/>
              <w:widowControl/>
              <w:suppressLineNumbers w:val="0"/>
              <w:tabs>
                <w:tab w:val="left" w:pos="90"/>
                <w:tab w:val="left" w:pos="720"/>
              </w:tabs>
              <w:spacing w:before="0" w:beforeAutospacing="0" w:after="0" w:afterAutospacing="0" w:line="240" w:lineRule="auto"/>
              <w:ind w:left="255" w:right="0" w:firstLine="0"/>
              <w:jc w:val="center"/>
              <w:rPr>
                <w:rFonts w:hint="eastAsia" w:ascii="Times New Roman" w:hAnsi="Times New Roman" w:cs="Times New Roman"/>
                <w:sz w:val="24"/>
                <w:szCs w:val="24"/>
              </w:rPr>
            </w:pPr>
          </w:p>
        </w:tc>
        <w:tc>
          <w:tcPr>
            <w:tcW w:w="810" w:type="dxa"/>
            <w:tcBorders>
              <w:top w:val="nil"/>
              <w:left w:val="single" w:color="000000" w:themeColor="text1" w:sz="4" w:space="0"/>
              <w:bottom w:val="single" w:color="auto" w:sz="4" w:space="0"/>
              <w:right w:val="single" w:color="000000" w:themeColor="text1" w:sz="4" w:space="0"/>
            </w:tcBorders>
          </w:tcPr>
          <w:p>
            <w:pPr>
              <w:keepNext w:val="0"/>
              <w:keepLines w:val="0"/>
              <w:widowControl/>
              <w:suppressLineNumbers w:val="0"/>
              <w:tabs>
                <w:tab w:val="left" w:pos="90"/>
                <w:tab w:val="left" w:pos="720"/>
              </w:tabs>
              <w:spacing w:before="0" w:beforeAutospacing="0" w:after="0" w:afterAutospacing="0" w:line="240" w:lineRule="auto"/>
              <w:ind w:left="0" w:right="0" w:firstLine="0"/>
              <w:rPr>
                <w:rFonts w:hint="eastAsia" w:ascii="Times New Roman" w:hAnsi="Times New Roman" w:cs="Times New Roman"/>
                <w:sz w:val="24"/>
                <w:szCs w:val="24"/>
              </w:rPr>
            </w:pPr>
            <w:r>
              <w:rPr>
                <w:rFonts w:hint="eastAsia" w:ascii="Times New Roman" w:hAnsi="Times New Roman" w:cs="Times New Roman"/>
                <w:sz w:val="24"/>
                <w:szCs w:val="24"/>
              </w:rPr>
              <w:t>Rasio</w:t>
            </w:r>
          </w:p>
        </w:tc>
      </w:tr>
    </w:tbl>
    <w:p>
      <w:pPr>
        <w:tabs>
          <w:tab w:val="left" w:pos="8550"/>
        </w:tabs>
        <w:spacing w:line="240" w:lineRule="auto"/>
        <w:ind w:firstLine="0"/>
        <w:rPr>
          <w:rFonts w:ascii="Times New Roman" w:hAnsi="Times New Roman" w:cs="Times New Roman" w:eastAsiaTheme="minorEastAsia"/>
          <w:i/>
          <w:sz w:val="24"/>
          <w:szCs w:val="24"/>
        </w:rPr>
      </w:pPr>
      <w:r>
        <w:rPr>
          <w:rFonts w:ascii="Times New Roman" w:hAnsi="Times New Roman" w:cs="Times New Roman" w:eastAsiaTheme="minorEastAsia"/>
          <w:i/>
          <w:sz w:val="24"/>
          <w:szCs w:val="24"/>
        </w:rPr>
        <w:t xml:space="preserve">Sumber : (Putri&amp; Setiawan, 2019), </w:t>
      </w:r>
      <w:sdt>
        <w:sdtPr>
          <w:rPr>
            <w:rFonts w:ascii="Times New Roman" w:hAnsi="Times New Roman" w:cs="Times New Roman" w:eastAsiaTheme="minorEastAsia"/>
            <w:i/>
            <w:sz w:val="24"/>
            <w:szCs w:val="24"/>
          </w:rPr>
          <w:id w:val="1596687317"/>
        </w:sdtPr>
        <w:sdtEndPr>
          <w:rPr>
            <w:rFonts w:ascii="Times New Roman" w:hAnsi="Times New Roman" w:cs="Times New Roman" w:eastAsiaTheme="minorEastAsia"/>
            <w:i/>
            <w:sz w:val="24"/>
            <w:szCs w:val="24"/>
          </w:rPr>
        </w:sdtEndPr>
        <w:sdtContent>
          <w:r>
            <w:rPr>
              <w:rFonts w:ascii="Times New Roman" w:hAnsi="Times New Roman" w:cs="Times New Roman" w:eastAsiaTheme="minorEastAsia"/>
              <w:i/>
              <w:sz w:val="24"/>
              <w:szCs w:val="24"/>
            </w:rPr>
            <w:fldChar w:fldCharType="begin"/>
          </w:r>
          <w:r>
            <w:rPr>
              <w:rFonts w:ascii="Times New Roman" w:hAnsi="Times New Roman" w:cs="Times New Roman" w:eastAsiaTheme="minorEastAsia"/>
              <w:i/>
              <w:sz w:val="24"/>
              <w:szCs w:val="24"/>
            </w:rPr>
            <w:instrText xml:space="preserve"> CITATION Ram17 \l 1033 </w:instrText>
          </w:r>
          <w:r>
            <w:rPr>
              <w:rFonts w:ascii="Times New Roman" w:hAnsi="Times New Roman" w:cs="Times New Roman" w:eastAsiaTheme="minorEastAsia"/>
              <w:i/>
              <w:sz w:val="24"/>
              <w:szCs w:val="24"/>
            </w:rPr>
            <w:fldChar w:fldCharType="separate"/>
          </w:r>
          <w:r>
            <w:rPr>
              <w:rFonts w:ascii="Times New Roman" w:hAnsi="Times New Roman" w:cs="Times New Roman" w:eastAsiaTheme="minorEastAsia"/>
              <w:sz w:val="24"/>
              <w:szCs w:val="24"/>
            </w:rPr>
            <w:t>(Ramona, 2017)</w:t>
          </w:r>
          <w:r>
            <w:rPr>
              <w:rFonts w:ascii="Times New Roman" w:hAnsi="Times New Roman" w:cs="Times New Roman" w:eastAsiaTheme="minorEastAsia"/>
              <w:i/>
              <w:sz w:val="24"/>
              <w:szCs w:val="24"/>
            </w:rPr>
            <w:fldChar w:fldCharType="end"/>
          </w:r>
          <w:r>
            <w:rPr>
              <w:rFonts w:ascii="Times New Roman" w:hAnsi="Times New Roman" w:cs="Times New Roman" w:eastAsiaTheme="minorEastAsia"/>
              <w:i/>
              <w:sz w:val="24"/>
              <w:szCs w:val="24"/>
            </w:rPr>
            <w:t xml:space="preserve">, </w:t>
          </w:r>
          <w:r>
            <w:rPr>
              <w:rFonts w:ascii="Times New Roman" w:hAnsi="Times New Roman" w:cs="Times New Roman"/>
              <w:i/>
              <w:sz w:val="24"/>
              <w:szCs w:val="24"/>
            </w:rPr>
            <w:t>Sumber :  (</w:t>
          </w:r>
          <w:sdt>
            <w:sdtPr>
              <w:rPr>
                <w:rFonts w:ascii="Times New Roman" w:hAnsi="Times New Roman" w:cs="Times New Roman"/>
                <w:i/>
                <w:sz w:val="24"/>
                <w:szCs w:val="24"/>
              </w:rPr>
              <w:id w:val="842737628"/>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Wai19 \l 1033 </w:instrText>
              </w:r>
              <w:r>
                <w:rPr>
                  <w:rFonts w:ascii="Times New Roman" w:hAnsi="Times New Roman" w:cs="Times New Roman"/>
                  <w:i/>
                  <w:sz w:val="24"/>
                  <w:szCs w:val="24"/>
                </w:rPr>
                <w:fldChar w:fldCharType="separate"/>
              </w:r>
              <w:r>
                <w:rPr>
                  <w:rFonts w:ascii="Times New Roman" w:hAnsi="Times New Roman" w:cs="Times New Roman"/>
                  <w:sz w:val="24"/>
                  <w:szCs w:val="24"/>
                </w:rPr>
                <w:t>(Wairooy, 2019)</w:t>
              </w:r>
              <w:r>
                <w:rPr>
                  <w:rFonts w:ascii="Times New Roman" w:hAnsi="Times New Roman" w:cs="Times New Roman"/>
                  <w:i/>
                  <w:sz w:val="24"/>
                  <w:szCs w:val="24"/>
                </w:rPr>
                <w:fldChar w:fldCharType="end"/>
              </w:r>
            </w:sdtContent>
          </w:sdt>
          <w:r>
            <w:rPr>
              <w:rFonts w:ascii="Times New Roman" w:hAnsi="Times New Roman" w:cs="Times New Roman"/>
              <w:i/>
              <w:sz w:val="24"/>
              <w:szCs w:val="24"/>
            </w:rPr>
            <w:t xml:space="preserve"> , </w:t>
          </w:r>
          <w:sdt>
            <w:sdtPr>
              <w:rPr>
                <w:rFonts w:ascii="Times New Roman" w:hAnsi="Times New Roman" w:cs="Times New Roman"/>
                <w:i/>
                <w:sz w:val="24"/>
                <w:szCs w:val="24"/>
              </w:rPr>
              <w:id w:val="-2121460772"/>
            </w:sdtPr>
            <w:sdtEndPr>
              <w:rPr>
                <w:rFonts w:ascii="Times New Roman" w:hAnsi="Times New Roman" w:cs="Times New Roman"/>
                <w:i/>
                <w:sz w:val="24"/>
                <w:szCs w:val="24"/>
              </w:rPr>
            </w:sdtEndPr>
            <w:sdtContent>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CITATION Kho20 \l 1033 </w:instrText>
              </w:r>
              <w:r>
                <w:rPr>
                  <w:rFonts w:ascii="Times New Roman" w:hAnsi="Times New Roman" w:cs="Times New Roman"/>
                  <w:i/>
                  <w:sz w:val="24"/>
                  <w:szCs w:val="24"/>
                </w:rPr>
                <w:fldChar w:fldCharType="separate"/>
              </w:r>
              <w:r>
                <w:rPr>
                  <w:rFonts w:ascii="Times New Roman" w:hAnsi="Times New Roman" w:cs="Times New Roman"/>
                  <w:sz w:val="24"/>
                  <w:szCs w:val="24"/>
                </w:rPr>
                <w:t>(Khoeriyah, 2020)</w:t>
              </w:r>
              <w:r>
                <w:rPr>
                  <w:rFonts w:ascii="Times New Roman" w:hAnsi="Times New Roman" w:cs="Times New Roman"/>
                  <w:i/>
                  <w:sz w:val="24"/>
                  <w:szCs w:val="24"/>
                </w:rPr>
                <w:fldChar w:fldCharType="end"/>
              </w:r>
            </w:sdtContent>
          </w:sdt>
        </w:sdtContent>
      </w:sdt>
    </w:p>
    <w:p>
      <w:pPr>
        <w:tabs>
          <w:tab w:val="left" w:pos="8550"/>
        </w:tabs>
        <w:spacing w:line="240" w:lineRule="auto"/>
        <w:ind w:firstLine="0"/>
        <w:rPr>
          <w:rFonts w:ascii="Times New Roman" w:hAnsi="Times New Roman" w:cs="Times New Roman" w:eastAsiaTheme="minorEastAsia"/>
          <w:i/>
          <w:sz w:val="24"/>
          <w:szCs w:val="24"/>
        </w:rPr>
      </w:pPr>
    </w:p>
    <w:p>
      <w:pPr>
        <w:pStyle w:val="23"/>
        <w:numPr>
          <w:ilvl w:val="2"/>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Populasi Dan Sampel Penelitian</w:t>
      </w:r>
    </w:p>
    <w:p>
      <w:pPr>
        <w:tabs>
          <w:tab w:val="left" w:pos="90"/>
        </w:tabs>
        <w:ind w:firstLine="0"/>
        <w:rPr>
          <w:rFonts w:ascii="Times New Roman" w:hAnsi="Times New Roman" w:cs="Times New Roman"/>
          <w:b/>
          <w:sz w:val="24"/>
          <w:szCs w:val="24"/>
        </w:rPr>
      </w:pPr>
      <w:r>
        <w:rPr>
          <w:rFonts w:ascii="Times New Roman" w:hAnsi="Times New Roman" w:cs="Times New Roman"/>
          <w:b/>
          <w:sz w:val="24"/>
          <w:szCs w:val="24"/>
        </w:rPr>
        <w:t>3.2.3.1 Populasi</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Populasi adalah keseluruhan dari karakteristik atau unit hasil pengukuran  yang menjadi objek penelitian atau populasi merupakan objek atau subjek yang berada pada suatu wilayah dan memenuhi syarat-syarat tertentu berkaitan dengan masalah penelitia (Sulastri, 2020). Populasi yang di gunakan dalam penelitian ini adalah perusahaan Sub Sector Perbankan  yang terdaftar di Bursa Efek Indonesia. dari populasi sebanyak 45 sub sector yang terdiri dari 45 perusahaan pada sub sector perbankan yang terdaftar di bursa efek indonesia tahun 2015-2019.</w:t>
      </w:r>
    </w:p>
    <w:p>
      <w:pPr>
        <w:tabs>
          <w:tab w:val="left" w:pos="90"/>
        </w:tabs>
        <w:ind w:firstLine="720"/>
        <w:rPr>
          <w:rFonts w:ascii="Times New Roman" w:hAnsi="Times New Roman" w:cs="Times New Roman"/>
          <w:sz w:val="24"/>
          <w:szCs w:val="24"/>
        </w:rPr>
      </w:pPr>
    </w:p>
    <w:p>
      <w:pPr>
        <w:tabs>
          <w:tab w:val="left" w:pos="90"/>
        </w:tabs>
        <w:ind w:firstLine="720"/>
        <w:rPr>
          <w:rFonts w:ascii="Times New Roman" w:hAnsi="Times New Roman" w:cs="Times New Roman"/>
          <w:sz w:val="24"/>
          <w:szCs w:val="24"/>
        </w:rPr>
      </w:pPr>
    </w:p>
    <w:p>
      <w:pPr>
        <w:tabs>
          <w:tab w:val="left" w:pos="90"/>
        </w:tabs>
        <w:jc w:val="center"/>
        <w:rPr>
          <w:rFonts w:ascii="Times New Roman" w:hAnsi="Times New Roman" w:cs="Times New Roman"/>
          <w:sz w:val="24"/>
          <w:szCs w:val="24"/>
        </w:rPr>
      </w:pPr>
      <w:r>
        <w:rPr>
          <w:rFonts w:ascii="Times New Roman" w:hAnsi="Times New Roman" w:cs="Times New Roman"/>
          <w:b/>
          <w:sz w:val="24"/>
          <w:szCs w:val="24"/>
        </w:rPr>
        <w:t>Tabel 3.2</w:t>
      </w:r>
      <w:r>
        <w:rPr>
          <w:rFonts w:ascii="Times New Roman" w:hAnsi="Times New Roman" w:cs="Times New Roman"/>
          <w:sz w:val="24"/>
          <w:szCs w:val="24"/>
        </w:rPr>
        <w:t xml:space="preserve"> Daftar Perusahaan pada sub sektor perbankan</w:t>
      </w:r>
    </w:p>
    <w:tbl>
      <w:tblPr>
        <w:tblStyle w:val="6"/>
        <w:tblW w:w="7812"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57"/>
        <w:gridCol w:w="4313"/>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No</w:t>
            </w:r>
          </w:p>
        </w:tc>
        <w:tc>
          <w:tcPr>
            <w:tcW w:w="1357"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Kode</w:t>
            </w:r>
          </w:p>
        </w:tc>
        <w:tc>
          <w:tcPr>
            <w:tcW w:w="4313"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NamaEmiten</w:t>
            </w:r>
          </w:p>
        </w:tc>
        <w:tc>
          <w:tcPr>
            <w:tcW w:w="1627"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Tanggal</w:t>
            </w:r>
          </w:p>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IPO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AGRO</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Rakyat Indonesia Agroniaga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08/08/2003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AGRS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Agris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22/12/2014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ARTO</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Artos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12/01/2016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BABP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MNC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15/07/2002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BACA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Capital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04/10/2007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BBCA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Central Asia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31/05/2000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BBHI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Harda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12/08/2015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BBKP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Bukopin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10/07/2006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BBMD</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Mestika Dharma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BBNI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Negara Indonesia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25/11/1996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BBNP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Nusantara Parahyangan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BBRI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Rakyat Indonesia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10/11/2003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BBTN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Negara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17/12/2009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BBYB</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Yudha Bhakti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13/01/2015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BCIC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JTrust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25/06/1997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BDMN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Danamon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06/12/1989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BEKS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Banten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13/07/2001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BGTG</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Ganesha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12/05/2016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BINA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Ina Perdana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16/01/2014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BJBR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Jawa Barat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BJTM</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Jawa Timur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12/07/2012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BKSW</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QNB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21/11/2002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BMAS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Maspion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BMRI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Mandiri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14/07/2003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BNBA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Bumi Arta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01/06/2006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CIMB 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29/11/1989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BNII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Maybank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21/11/1989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BNLI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Permata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15/01/1990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BRIS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BRIsyariah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01/01/1911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BSIM</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Sinarmas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13/12/2010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BSWD</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Of India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BTPN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Pensiunan 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BTPS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Pensiunan Nasional Syariah</w:t>
            </w:r>
            <w:r>
              <w:rPr>
                <w:rFonts w:hint="eastAsia" w:ascii="Times New Roman" w:hAnsi="Times New Roman" w:eastAsia="Times New Roman" w:cs="Times New Roman"/>
                <w:color w:val="000000"/>
                <w:sz w:val="24"/>
                <w:szCs w:val="24"/>
                <w:lang w:eastAsia="id-ID"/>
              </w:rPr>
              <w:br w:type="textWrapping"/>
            </w:r>
            <w:r>
              <w:rPr>
                <w:rFonts w:hint="eastAsia" w:ascii="Times New Roman" w:hAnsi="Times New Roman" w:eastAsia="Times New Roman" w:cs="Times New Roman"/>
                <w:color w:val="000000"/>
                <w:sz w:val="24"/>
                <w:szCs w:val="24"/>
                <w:lang w:eastAsia="id-ID"/>
              </w:rPr>
              <w:t>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08/05/2018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BVIC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Victoria International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30/06/1999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DNAR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Dinar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11/07/2014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INPC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Artha Graha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29/08/1990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MAYA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Mayapada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29/08/1997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MCOR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China Construction Bank Indonesia</w:t>
            </w:r>
            <w:r>
              <w:rPr>
                <w:rFonts w:hint="eastAsia" w:ascii="Times New Roman" w:hAnsi="Times New Roman" w:eastAsia="Times New Roman" w:cs="Times New Roman"/>
                <w:color w:val="000000"/>
                <w:sz w:val="24"/>
                <w:szCs w:val="24"/>
                <w:lang w:eastAsia="id-ID"/>
              </w:rPr>
              <w:br w:type="textWrapping"/>
            </w:r>
            <w:r>
              <w:rPr>
                <w:rFonts w:hint="eastAsia" w:ascii="Times New Roman" w:hAnsi="Times New Roman" w:eastAsia="Times New Roman" w:cs="Times New Roman"/>
                <w:color w:val="000000"/>
                <w:sz w:val="24"/>
                <w:szCs w:val="24"/>
                <w:lang w:eastAsia="id-ID"/>
              </w:rPr>
              <w:t>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03/07/2007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MEGA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Mega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17/04/2000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NAGA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Mitraniaga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09/07/2013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NISP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OCBC NISP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20/10/1994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NOBU</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Nationalnobu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20/05/2013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PNBN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Pan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29/12/1982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PNBS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Panin Dubai Syariah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SDRA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Woori Saudara Indonesia 1906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15/12/2006</w:t>
            </w:r>
          </w:p>
        </w:tc>
      </w:tr>
    </w:tbl>
    <w:p>
      <w:pPr>
        <w:tabs>
          <w:tab w:val="left" w:pos="90"/>
          <w:tab w:val="left" w:pos="720"/>
        </w:tabs>
        <w:ind w:firstLine="0"/>
        <w:rPr>
          <w:rFonts w:ascii="Times New Roman" w:hAnsi="Times New Roman" w:cs="Times New Roman"/>
          <w:i/>
          <w:color w:val="000000" w:themeColor="text1"/>
          <w:sz w:val="24"/>
          <w:szCs w:val="24"/>
        </w:rPr>
      </w:pPr>
      <w:r>
        <w:rPr>
          <w:rFonts w:ascii="Times New Roman" w:hAnsi="Times New Roman" w:cs="Times New Roman"/>
          <w:i/>
          <w:sz w:val="24"/>
          <w:szCs w:val="24"/>
        </w:rPr>
        <w:t xml:space="preserve">sumber : </w:t>
      </w:r>
      <w:r>
        <w:rPr>
          <w:rFonts w:ascii="Times New Roman" w:hAnsi="Times New Roman" w:cs="Times New Roman"/>
          <w:i/>
          <w:color w:val="000000" w:themeColor="text1"/>
          <w:sz w:val="24"/>
          <w:szCs w:val="24"/>
        </w:rPr>
        <w:t>(</w:t>
      </w:r>
      <w:r>
        <w:fldChar w:fldCharType="begin"/>
      </w:r>
      <w:r>
        <w:instrText xml:space="preserve"> HYPERLINK "http://www.idx.co.id" </w:instrText>
      </w:r>
      <w:r>
        <w:fldChar w:fldCharType="separate"/>
      </w:r>
      <w:r>
        <w:rPr>
          <w:rStyle w:val="12"/>
          <w:rFonts w:ascii="Times New Roman" w:hAnsi="Times New Roman" w:cs="Times New Roman"/>
          <w:color w:val="000000" w:themeColor="text1"/>
          <w:sz w:val="24"/>
          <w:szCs w:val="24"/>
          <w:u w:val="none"/>
        </w:rPr>
        <w:t>www.idx.co.id</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i/>
          <w:color w:val="000000" w:themeColor="text1"/>
          <w:sz w:val="24"/>
          <w:szCs w:val="24"/>
        </w:rPr>
        <w:t>)</w:t>
      </w:r>
    </w:p>
    <w:p>
      <w:pPr>
        <w:tabs>
          <w:tab w:val="left" w:pos="90"/>
          <w:tab w:val="left" w:pos="720"/>
        </w:tabs>
        <w:ind w:firstLine="0"/>
        <w:rPr>
          <w:rFonts w:ascii="Times New Roman" w:hAnsi="Times New Roman" w:cs="Times New Roman"/>
          <w:b/>
          <w:sz w:val="24"/>
          <w:szCs w:val="24"/>
        </w:rPr>
      </w:pPr>
      <w:r>
        <w:rPr>
          <w:rFonts w:ascii="Times New Roman" w:hAnsi="Times New Roman" w:cs="Times New Roman"/>
          <w:b/>
          <w:sz w:val="24"/>
          <w:szCs w:val="24"/>
        </w:rPr>
        <w:t>3.2.3.2 Sampel</w:t>
      </w:r>
    </w:p>
    <w:p>
      <w:pPr>
        <w:tabs>
          <w:tab w:val="left" w:pos="90"/>
          <w:tab w:val="left" w:pos="720"/>
        </w:tabs>
        <w:ind w:firstLine="720"/>
        <w:rPr>
          <w:rFonts w:ascii="Times New Roman" w:hAnsi="Times New Roman" w:cs="Times New Roman"/>
          <w:b/>
          <w:sz w:val="24"/>
          <w:szCs w:val="24"/>
        </w:rPr>
      </w:pPr>
      <w:r>
        <w:rPr>
          <w:rFonts w:ascii="Times New Roman" w:hAnsi="Times New Roman" w:cs="Times New Roman"/>
          <w:sz w:val="24"/>
          <w:szCs w:val="24"/>
        </w:rPr>
        <w:t xml:space="preserve">Sampel adalah bagian dari jumlah dan karakteristik yang dimiliki oleh populasi  tersebut. Teknik pengambilan sampel dalam penelitian ini dilakukan secara </w:t>
      </w:r>
      <w:r>
        <w:rPr>
          <w:rFonts w:ascii="Times New Roman" w:hAnsi="Times New Roman" w:cs="Times New Roman"/>
          <w:i/>
          <w:sz w:val="24"/>
          <w:szCs w:val="24"/>
        </w:rPr>
        <w:t>purposive sampling</w:t>
      </w:r>
      <w:r>
        <w:rPr>
          <w:rFonts w:ascii="Times New Roman" w:hAnsi="Times New Roman" w:cs="Times New Roman"/>
          <w:sz w:val="24"/>
          <w:szCs w:val="24"/>
        </w:rPr>
        <w:t xml:space="preserve"> dengan tujuan mendapatkan sampel yang </w:t>
      </w:r>
      <w:r>
        <w:rPr>
          <w:rFonts w:ascii="Times New Roman" w:hAnsi="Times New Roman" w:cs="Times New Roman"/>
          <w:i/>
          <w:sz w:val="24"/>
          <w:szCs w:val="24"/>
        </w:rPr>
        <w:t xml:space="preserve">representif </w:t>
      </w:r>
      <w:r>
        <w:rPr>
          <w:rFonts w:ascii="Times New Roman" w:hAnsi="Times New Roman" w:cs="Times New Roman"/>
          <w:sz w:val="24"/>
          <w:szCs w:val="24"/>
        </w:rPr>
        <w:t>sesuai dengan karakteristik yang ditentukan peneliti (Sulastri, 2020) Adapun karakteristik tertentu yang digunakan untuk dijadikan sampel adalah</w:t>
      </w:r>
    </w:p>
    <w:p>
      <w:pPr>
        <w:tabs>
          <w:tab w:val="left" w:pos="90"/>
          <w:tab w:val="left" w:pos="720"/>
        </w:tabs>
        <w:ind w:firstLine="0"/>
        <w:rPr>
          <w:rFonts w:ascii="Times New Roman" w:hAnsi="Times New Roman" w:cs="Times New Roman"/>
          <w:sz w:val="24"/>
          <w:szCs w:val="24"/>
        </w:rPr>
      </w:pPr>
      <w:r>
        <w:rPr>
          <w:rFonts w:ascii="Times New Roman" w:hAnsi="Times New Roman" w:cs="Times New Roman"/>
          <w:sz w:val="24"/>
          <w:szCs w:val="24"/>
        </w:rPr>
        <w:t>sebagai berikut :</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Perusahaan sub sektor perbankan yang terdaftar di Bursa Efek Indonesia periode 2015-2019</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Perusahaan menerbitkan laporan keuangan tahunan perusahaan lengkap dan tepat waktu yang berakhir 31 Desember dari tahun 2015-2019.</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Perusahaan yang tidak mengalami </w:t>
      </w:r>
      <w:r>
        <w:rPr>
          <w:rFonts w:ascii="Times New Roman" w:hAnsi="Times New Roman" w:cs="Times New Roman"/>
          <w:i/>
          <w:sz w:val="24"/>
          <w:szCs w:val="24"/>
        </w:rPr>
        <w:t>delisting</w:t>
      </w:r>
      <w:r>
        <w:rPr>
          <w:rFonts w:ascii="Times New Roman" w:hAnsi="Times New Roman" w:cs="Times New Roman"/>
          <w:sz w:val="24"/>
          <w:szCs w:val="24"/>
        </w:rPr>
        <w:t xml:space="preserve"> dari tahun 2015-2019</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perusahaan yang sudah </w:t>
      </w:r>
      <w:r>
        <w:rPr>
          <w:rFonts w:ascii="Times New Roman" w:hAnsi="Times New Roman" w:cs="Times New Roman"/>
          <w:i/>
          <w:sz w:val="24"/>
          <w:szCs w:val="24"/>
        </w:rPr>
        <w:t>listing</w:t>
      </w:r>
      <w:r>
        <w:rPr>
          <w:rFonts w:ascii="Times New Roman" w:hAnsi="Times New Roman" w:cs="Times New Roman"/>
          <w:sz w:val="24"/>
          <w:szCs w:val="24"/>
        </w:rPr>
        <w:t xml:space="preserve"> sebelum tahun periode penelitian</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perusahan sampel memiliki semua data yang diperlukan secara lengkap</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perusahaan memiliki data harga penutupan saham akhir tahun dimana saham tersebut aktif diperdagangkan selama periode penelitian.</w:t>
      </w:r>
    </w:p>
    <w:p>
      <w:pPr>
        <w:pStyle w:val="23"/>
        <w:numPr>
          <w:ilvl w:val="0"/>
          <w:numId w:val="19"/>
        </w:numPr>
        <w:tabs>
          <w:tab w:val="left" w:pos="90"/>
          <w:tab w:val="left" w:pos="720"/>
        </w:tabs>
        <w:rPr>
          <w:rFonts w:ascii="Times New Roman" w:hAnsi="Times New Roman" w:cs="Times New Roman"/>
          <w:sz w:val="24"/>
          <w:szCs w:val="24"/>
        </w:rPr>
      </w:pPr>
      <w:r>
        <w:rPr>
          <w:rFonts w:ascii="Times New Roman" w:hAnsi="Times New Roman" w:cs="Times New Roman"/>
          <w:sz w:val="24"/>
          <w:szCs w:val="24"/>
        </w:rPr>
        <w:t xml:space="preserve">Perusahaan yang mengungkapkan CSR </w:t>
      </w:r>
      <w:r>
        <w:rPr>
          <w:rFonts w:ascii="Times New Roman" w:hAnsi="Times New Roman" w:cs="Times New Roman"/>
          <w:i/>
          <w:sz w:val="24"/>
          <w:szCs w:val="24"/>
        </w:rPr>
        <w:t>( Corporate Social Responbility)</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Pada perusahaan Sub Sektor Perbankan yang terdaftar diBursa Efek Indonesia (BEI) terdiri dari 45 perusahaaan yang berdasarkan data terbaru, namun hanya 39 perusahaan pada sub sektor perbankan yang memenuhi kriteria sebagai sampel pada tahun 2015-2019. Untuk lebih jelasnya di lihat paa tabel berikut ini</w:t>
      </w:r>
    </w:p>
    <w:p>
      <w:pPr>
        <w:tabs>
          <w:tab w:val="left" w:pos="90"/>
          <w:tab w:val="left" w:pos="720"/>
        </w:tabs>
        <w:jc w:val="center"/>
        <w:rPr>
          <w:rFonts w:ascii="Times New Roman" w:hAnsi="Times New Roman" w:cs="Times New Roman"/>
          <w:sz w:val="24"/>
          <w:szCs w:val="24"/>
        </w:rPr>
      </w:pPr>
      <w:r>
        <w:rPr>
          <w:rFonts w:ascii="Times New Roman" w:hAnsi="Times New Roman" w:cs="Times New Roman"/>
          <w:b/>
          <w:sz w:val="24"/>
          <w:szCs w:val="24"/>
        </w:rPr>
        <w:t xml:space="preserve">Tabel 3.3 </w:t>
      </w:r>
      <w:r>
        <w:rPr>
          <w:rFonts w:ascii="Times New Roman" w:hAnsi="Times New Roman" w:cs="Times New Roman"/>
          <w:sz w:val="24"/>
          <w:szCs w:val="24"/>
        </w:rPr>
        <w:t>Daftar Sampel Perusahaan Sub Sektor Perbankan</w:t>
      </w:r>
    </w:p>
    <w:tbl>
      <w:tblPr>
        <w:tblStyle w:val="15"/>
        <w:tblW w:w="790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3"/>
        <w:gridCol w:w="1350"/>
        <w:gridCol w:w="60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8"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Cs/>
                <w:sz w:val="24"/>
                <w:szCs w:val="24"/>
              </w:rPr>
            </w:pPr>
            <w:r>
              <w:rPr>
                <w:rFonts w:hint="eastAsia" w:ascii="Times New Roman" w:hAnsi="Times New Roman" w:eastAsia="Times New Roman" w:cs="Times New Roman"/>
                <w:bCs/>
                <w:sz w:val="24"/>
                <w:szCs w:val="24"/>
              </w:rPr>
              <w:t>NO</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Cs/>
                <w:color w:val="000000"/>
                <w:sz w:val="24"/>
                <w:szCs w:val="24"/>
                <w:highlight w:val="black"/>
              </w:rPr>
            </w:pPr>
            <w:r>
              <w:rPr>
                <w:rFonts w:hint="eastAsia" w:ascii="Times New Roman" w:hAnsi="Times New Roman" w:eastAsia="Times New Roman" w:cs="Times New Roman"/>
                <w:bCs/>
                <w:color w:val="000000"/>
                <w:sz w:val="24"/>
                <w:szCs w:val="24"/>
              </w:rPr>
              <w:t>KODE</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Cs/>
                <w:color w:val="FFFFFF" w:themeColor="background1"/>
                <w:sz w:val="24"/>
                <w:szCs w:val="24"/>
                <w:highlight w:val="black"/>
              </w:rPr>
            </w:pPr>
            <w:r>
              <w:rPr>
                <w:rFonts w:hint="eastAsia" w:ascii="Times New Roman" w:hAnsi="Times New Roman" w:eastAsia="Times New Roman" w:cs="Times New Roman"/>
                <w:bCs/>
                <w:color w:val="000000" w:themeColor="text1"/>
                <w:sz w:val="24"/>
                <w:szCs w:val="24"/>
              </w:rPr>
              <w:t>NAMA PERUSAHAAN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AGRO</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Rakyat Indonesia  Agroniaga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AGRS</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Angris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BABP</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Mnc Internasional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4</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BACA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Capital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5</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BBCA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Central Asia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6</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BBHI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Harda Internasional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7</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BBKP</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Bukopin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8</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BBMD</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Mestika Dharma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9</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BBNI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Negara Indonesia (Persero)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10</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BBRI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Rakyat Indonesia (Persero)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11</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BBTN</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Tabungan Negara (Persero)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12</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BBYB</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Yudha Bhakti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13</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BCIC</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Jtrust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14</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BDMN</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Danamon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15</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BEKS</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Pembangunan Daerah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16</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BINA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Ina Perdana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17</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BJBR</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Pembangunan Daerah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18</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BJTM</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Pembangunan Daerah Jawa Timur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19</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BKSW</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Qnb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20</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BMAS</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Maspion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21</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BMRI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Mandiri (Persero)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22</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BNBA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Bumi Arta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23</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BNGA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Cimb Niaga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24</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BNII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Mybank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25</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BNLI</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Permata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26</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BSIM</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Sinarmas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27</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BSWD</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Of India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28</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BTPN</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Tabungan Pensiun 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29</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BVIC</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Victoria Internasional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30</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DNAR</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Dinar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31</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INPC</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Artha Graha Internasional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32</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MAYA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Mayapada Internasional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33</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MCOR</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China Construction Bank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34</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MEGA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Mega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35</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NISP</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Ocbc Nisp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36</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NOBU</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National Nobu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37</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PNBN</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Pan Indonesia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38</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PNBS</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Panin Dubai Syariah Tbk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center"/>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39</w:t>
            </w:r>
          </w:p>
        </w:tc>
        <w:tc>
          <w:tcPr>
            <w:tcW w:w="135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SDRA</w:t>
            </w:r>
          </w:p>
        </w:tc>
        <w:tc>
          <w:tcPr>
            <w:tcW w:w="601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Bank Woori Saudara Indonesia Tbk</w:t>
            </w:r>
          </w:p>
        </w:tc>
      </w:tr>
    </w:tbl>
    <w:p>
      <w:pPr>
        <w:tabs>
          <w:tab w:val="left" w:pos="90"/>
          <w:tab w:val="left" w:pos="720"/>
        </w:tabs>
        <w:ind w:firstLine="0"/>
        <w:rPr>
          <w:rFonts w:ascii="Times New Roman" w:hAnsi="Times New Roman" w:cs="Times New Roman"/>
          <w:i/>
          <w:sz w:val="24"/>
          <w:szCs w:val="24"/>
        </w:rPr>
      </w:pPr>
      <w:r>
        <w:rPr>
          <w:rFonts w:ascii="Times New Roman" w:hAnsi="Times New Roman" w:cs="Times New Roman"/>
          <w:i/>
          <w:sz w:val="24"/>
          <w:szCs w:val="24"/>
        </w:rPr>
        <w:t>sumber: (</w:t>
      </w:r>
      <w:r>
        <w:fldChar w:fldCharType="begin"/>
      </w:r>
      <w:r>
        <w:instrText xml:space="preserve"> HYPERLINK "http://www.idx.co.id" </w:instrText>
      </w:r>
      <w:r>
        <w:fldChar w:fldCharType="separate"/>
      </w:r>
      <w:r>
        <w:rPr>
          <w:rStyle w:val="12"/>
          <w:rFonts w:ascii="Times New Roman" w:hAnsi="Times New Roman" w:cs="Times New Roman"/>
          <w:color w:val="auto"/>
          <w:sz w:val="24"/>
          <w:szCs w:val="24"/>
          <w:u w:val="none"/>
        </w:rPr>
        <w:t>www.idx.co.id</w:t>
      </w:r>
      <w:r>
        <w:rPr>
          <w:rStyle w:val="12"/>
          <w:rFonts w:ascii="Times New Roman" w:hAnsi="Times New Roman" w:cs="Times New Roman"/>
          <w:color w:val="auto"/>
          <w:sz w:val="24"/>
          <w:szCs w:val="24"/>
          <w:u w:val="none"/>
        </w:rPr>
        <w:fldChar w:fldCharType="end"/>
      </w:r>
      <w:r>
        <w:rPr>
          <w:rFonts w:ascii="Times New Roman" w:hAnsi="Times New Roman" w:cs="Times New Roman"/>
          <w:i/>
          <w:sz w:val="24"/>
          <w:szCs w:val="24"/>
        </w:rPr>
        <w:t>)</w:t>
      </w:r>
    </w:p>
    <w:p>
      <w:pPr>
        <w:pStyle w:val="23"/>
        <w:numPr>
          <w:ilvl w:val="2"/>
          <w:numId w:val="18"/>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Sumber Data Dan Cara Pengumpulan Data</w:t>
      </w:r>
    </w:p>
    <w:p>
      <w:pPr>
        <w:pStyle w:val="23"/>
        <w:numPr>
          <w:ilvl w:val="3"/>
          <w:numId w:val="18"/>
        </w:numPr>
        <w:tabs>
          <w:tab w:val="left" w:pos="90"/>
          <w:tab w:val="left" w:pos="720"/>
        </w:tabs>
        <w:rPr>
          <w:rFonts w:ascii="Times New Roman" w:hAnsi="Times New Roman" w:cs="Times New Roman"/>
          <w:b/>
          <w:sz w:val="24"/>
          <w:szCs w:val="24"/>
        </w:rPr>
      </w:pPr>
      <w:r>
        <w:rPr>
          <w:rFonts w:ascii="Times New Roman" w:hAnsi="Times New Roman" w:cs="Times New Roman"/>
          <w:b/>
          <w:sz w:val="24"/>
          <w:szCs w:val="24"/>
        </w:rPr>
        <w:t>Jenis Data</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Jenis data yang digunakan dalam penelitian ini adalah data kuantitatif. Penelitian kuantitatif didasarkan pada penelitian data spesifik yang terukur dan relatif tetap pada populasi atau sampel tertentu untuk menggambarkan dan menguji hipotesis yang telah ditentukan (Purnaningsih, 2019). Dalam penelitian ini data kuantitatif yang digunakan adalah laporan keuangan 2015-2019.</w:t>
      </w:r>
    </w:p>
    <w:p>
      <w:pPr>
        <w:pStyle w:val="23"/>
        <w:numPr>
          <w:ilvl w:val="3"/>
          <w:numId w:val="18"/>
        </w:numPr>
        <w:tabs>
          <w:tab w:val="left" w:pos="90"/>
          <w:tab w:val="left" w:pos="720"/>
        </w:tabs>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Sumber Data</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Menurut (Purnaningsih, 2019) sumber data penelitian terbagi menjadi dua, yaitu:</w:t>
      </w:r>
    </w:p>
    <w:p>
      <w:pPr>
        <w:tabs>
          <w:tab w:val="left" w:pos="90"/>
          <w:tab w:val="left" w:pos="720"/>
        </w:tabs>
        <w:ind w:firstLine="720"/>
        <w:rPr>
          <w:rFonts w:ascii="Times New Roman" w:hAnsi="Times New Roman" w:cs="Times New Roman"/>
          <w:sz w:val="24"/>
          <w:szCs w:val="24"/>
        </w:rPr>
      </w:pPr>
    </w:p>
    <w:p>
      <w:pPr>
        <w:pStyle w:val="23"/>
        <w:numPr>
          <w:ilvl w:val="1"/>
          <w:numId w:val="6"/>
        </w:numPr>
        <w:tabs>
          <w:tab w:val="left" w:pos="90"/>
          <w:tab w:val="left" w:pos="720"/>
        </w:tabs>
        <w:ind w:left="90" w:firstLine="0"/>
        <w:rPr>
          <w:rFonts w:ascii="Times New Roman" w:hAnsi="Times New Roman" w:cs="Times New Roman"/>
          <w:sz w:val="24"/>
          <w:szCs w:val="24"/>
        </w:rPr>
      </w:pPr>
      <w:r>
        <w:rPr>
          <w:rFonts w:ascii="Times New Roman" w:hAnsi="Times New Roman" w:cs="Times New Roman"/>
          <w:sz w:val="24"/>
          <w:szCs w:val="24"/>
        </w:rPr>
        <w:t>Sumber Primer</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Sumber data yang langsung memberikan data kepada pengumpul data.</w:t>
      </w:r>
    </w:p>
    <w:p>
      <w:pPr>
        <w:pStyle w:val="23"/>
        <w:numPr>
          <w:ilvl w:val="1"/>
          <w:numId w:val="6"/>
        </w:numPr>
        <w:tabs>
          <w:tab w:val="left" w:pos="90"/>
          <w:tab w:val="left" w:pos="720"/>
        </w:tabs>
        <w:ind w:left="90" w:firstLine="0"/>
        <w:rPr>
          <w:rFonts w:ascii="Times New Roman" w:hAnsi="Times New Roman" w:cs="Times New Roman"/>
          <w:sz w:val="24"/>
          <w:szCs w:val="24"/>
        </w:rPr>
      </w:pPr>
      <w:r>
        <w:rPr>
          <w:rFonts w:ascii="Times New Roman" w:hAnsi="Times New Roman" w:cs="Times New Roman"/>
          <w:sz w:val="24"/>
          <w:szCs w:val="24"/>
        </w:rPr>
        <w:t>Sumber Sekunder</w:t>
      </w:r>
    </w:p>
    <w:p>
      <w:pPr>
        <w:tabs>
          <w:tab w:val="left" w:pos="90"/>
          <w:tab w:val="left" w:pos="720"/>
        </w:tabs>
        <w:ind w:left="720" w:firstLine="0"/>
        <w:rPr>
          <w:rFonts w:ascii="Times New Roman" w:hAnsi="Times New Roman" w:cs="Times New Roman"/>
          <w:sz w:val="24"/>
          <w:szCs w:val="24"/>
        </w:rPr>
      </w:pPr>
      <w:r>
        <w:rPr>
          <w:rFonts w:ascii="Times New Roman" w:hAnsi="Times New Roman" w:cs="Times New Roman"/>
          <w:sz w:val="24"/>
          <w:szCs w:val="24"/>
        </w:rPr>
        <w:t>Sumber data yang tidak langsung misalnya lewat orang lain atau lewat dokumen</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eastAsiaTheme="minorEastAsia"/>
          <w:sz w:val="24"/>
          <w:szCs w:val="24"/>
        </w:rPr>
        <w:t xml:space="preserve">Sumber data yang digunakan dalam penelitian ini adalah data sekunder. Data sekunder yaitu data tambahan pelengkap data </w:t>
      </w:r>
      <w:r>
        <w:rPr>
          <w:rFonts w:ascii="Times New Roman" w:hAnsi="Times New Roman" w:cs="Times New Roman" w:eastAsiaTheme="minorEastAsia"/>
          <w:i/>
          <w:sz w:val="24"/>
          <w:szCs w:val="24"/>
        </w:rPr>
        <w:t>primer</w:t>
      </w:r>
      <w:r>
        <w:rPr>
          <w:rFonts w:ascii="Times New Roman" w:hAnsi="Times New Roman" w:cs="Times New Roman" w:eastAsiaTheme="minorEastAsia"/>
          <w:sz w:val="24"/>
          <w:szCs w:val="24"/>
        </w:rPr>
        <w:t xml:space="preserve"> yang bersumber dari informasi-informasi tertulis yang berhubungan dengan penelitian ini, seperti literature-literatur berupa buku-buku, majalah dan Koran </w:t>
      </w:r>
      <w:r>
        <w:rPr>
          <w:rFonts w:ascii="Times New Roman" w:hAnsi="Times New Roman" w:cs="Times New Roman"/>
          <w:sz w:val="24"/>
          <w:szCs w:val="24"/>
        </w:rPr>
        <w:t>(Purnaningsih, 2019)</w:t>
      </w:r>
    </w:p>
    <w:p>
      <w:pPr>
        <w:pStyle w:val="23"/>
        <w:numPr>
          <w:ilvl w:val="3"/>
          <w:numId w:val="18"/>
        </w:numPr>
        <w:tabs>
          <w:tab w:val="left" w:pos="90"/>
          <w:tab w:val="left" w:pos="720"/>
        </w:tabs>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Cara pengumpulan data</w:t>
      </w:r>
    </w:p>
    <w:p>
      <w:pPr>
        <w:tabs>
          <w:tab w:val="left" w:pos="90"/>
          <w:tab w:val="left" w:pos="720"/>
        </w:tabs>
        <w:ind w:firstLine="720"/>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Dalam penelitian ini proses pengumpulan data yang digunakan adalah dokumentasi dan studi pustaka. pengumpulan data melalui studi pustaka  dilakukan dengan membaca buku, jurnal, artikel yang relevan dengan penelitian yang dilakukan peneliti. Pengumpulan data melalui dokumentasi dilakukan dengan membaca, melihat dan menelaah laporan keuangan yang dipublikasikan oleh Bank yang diperoleh melalui </w:t>
      </w:r>
      <w:r>
        <w:rPr>
          <w:rFonts w:ascii="Times New Roman" w:hAnsi="Times New Roman" w:cs="Times New Roman" w:eastAsiaTheme="minorEastAsia"/>
          <w:i/>
          <w:sz w:val="24"/>
          <w:szCs w:val="24"/>
        </w:rPr>
        <w:t xml:space="preserve">website </w:t>
      </w:r>
      <w:r>
        <w:rPr>
          <w:rFonts w:ascii="Times New Roman" w:hAnsi="Times New Roman" w:cs="Times New Roman" w:eastAsiaTheme="minorEastAsia"/>
          <w:sz w:val="24"/>
          <w:szCs w:val="24"/>
        </w:rPr>
        <w:t>Bursa Efek Indonesia (www.idx.co.id), dan data ICMD (</w:t>
      </w:r>
      <w:r>
        <w:rPr>
          <w:rFonts w:ascii="Times New Roman" w:hAnsi="Times New Roman" w:cs="Times New Roman" w:eastAsiaTheme="minorEastAsia"/>
          <w:i/>
          <w:sz w:val="24"/>
          <w:szCs w:val="24"/>
        </w:rPr>
        <w:t>Indonesia Capital Market Directory).</w:t>
      </w:r>
      <w:r>
        <w:rPr>
          <w:rFonts w:ascii="Times New Roman" w:hAnsi="Times New Roman" w:cs="Times New Roman" w:eastAsiaTheme="minorEastAsia"/>
          <w:sz w:val="24"/>
          <w:szCs w:val="24"/>
        </w:rPr>
        <w:t xml:space="preserve"> data yang digunakan ini adalah laporan keuangan tahunan sub sektor perbankan selama tahun 2015-2019 </w:t>
      </w:r>
    </w:p>
    <w:p>
      <w:pPr>
        <w:pStyle w:val="23"/>
        <w:numPr>
          <w:ilvl w:val="2"/>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Prosedur Pengujian dan instrument Penelitian</w:t>
      </w:r>
    </w:p>
    <w:p>
      <w:pPr>
        <w:pStyle w:val="23"/>
        <w:numPr>
          <w:ilvl w:val="3"/>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Analisis instrument penelitian</w:t>
      </w:r>
    </w:p>
    <w:p>
      <w:pPr>
        <w:tabs>
          <w:tab w:val="left" w:pos="90"/>
        </w:tabs>
        <w:ind w:firstLine="720"/>
      </w:pPr>
      <w:r>
        <w:rPr>
          <w:rFonts w:ascii="Times New Roman" w:hAnsi="Times New Roman" w:cs="Times New Roman"/>
          <w:sz w:val="24"/>
          <w:szCs w:val="24"/>
        </w:rPr>
        <w:t xml:space="preserve">Analisis instrument penelitian merupakan suatu metode yang digunakan untuk mengelola suatu data penelitian dengan menggunakan proses penyederhanaan data dalam bentuk yang mudah diinterprestasikan, analisis </w:t>
      </w:r>
      <w:r>
        <w:rPr>
          <w:rFonts w:ascii="Times New Roman" w:hAnsi="Times New Roman" w:cs="Times New Roman"/>
          <w:i/>
          <w:sz w:val="24"/>
          <w:szCs w:val="24"/>
        </w:rPr>
        <w:t xml:space="preserve">regresi </w:t>
      </w:r>
      <w:r>
        <w:rPr>
          <w:rFonts w:ascii="Times New Roman" w:hAnsi="Times New Roman" w:cs="Times New Roman"/>
          <w:sz w:val="24"/>
          <w:szCs w:val="24"/>
        </w:rPr>
        <w:t xml:space="preserve">berganda adalah suatu alat analisis peramalan nilai pengaruh dua </w:t>
      </w:r>
      <w:r>
        <w:rPr>
          <w:rFonts w:ascii="Times New Roman" w:hAnsi="Times New Roman" w:cs="Times New Roman"/>
          <w:i/>
          <w:sz w:val="24"/>
          <w:szCs w:val="24"/>
        </w:rPr>
        <w:t xml:space="preserve">variabel </w:t>
      </w:r>
      <w:r>
        <w:rPr>
          <w:rFonts w:ascii="Times New Roman" w:hAnsi="Times New Roman" w:cs="Times New Roman"/>
          <w:sz w:val="24"/>
          <w:szCs w:val="24"/>
        </w:rPr>
        <w:t xml:space="preserve">bebas atau lebih terhadap </w:t>
      </w:r>
      <w:r>
        <w:rPr>
          <w:rFonts w:ascii="Times New Roman" w:hAnsi="Times New Roman" w:cs="Times New Roman"/>
          <w:i/>
          <w:sz w:val="24"/>
          <w:szCs w:val="24"/>
        </w:rPr>
        <w:t>variabel</w:t>
      </w:r>
      <w:r>
        <w:rPr>
          <w:rFonts w:ascii="Times New Roman" w:hAnsi="Times New Roman" w:cs="Times New Roman"/>
          <w:sz w:val="24"/>
          <w:szCs w:val="24"/>
        </w:rPr>
        <w:t xml:space="preserve"> terikat untuk membuktikan ada atau tidaknya hubungan fungsi atau hubungan antara dua</w:t>
      </w:r>
      <w:r>
        <w:rPr>
          <w:rFonts w:ascii="Times New Roman" w:hAnsi="Times New Roman" w:cs="Times New Roman"/>
          <w:i/>
          <w:sz w:val="24"/>
          <w:szCs w:val="24"/>
        </w:rPr>
        <w:t xml:space="preserve"> variabel </w:t>
      </w:r>
      <w:r>
        <w:rPr>
          <w:rFonts w:ascii="Times New Roman" w:hAnsi="Times New Roman" w:cs="Times New Roman"/>
          <w:sz w:val="24"/>
          <w:szCs w:val="24"/>
        </w:rPr>
        <w:t xml:space="preserve">bebas atau lebih dengan satu </w:t>
      </w:r>
      <w:r>
        <w:rPr>
          <w:rFonts w:ascii="Times New Roman" w:hAnsi="Times New Roman" w:cs="Times New Roman"/>
          <w:i/>
          <w:sz w:val="24"/>
          <w:szCs w:val="24"/>
        </w:rPr>
        <w:t>variabel</w:t>
      </w:r>
      <w:r>
        <w:rPr>
          <w:rFonts w:ascii="Times New Roman" w:hAnsi="Times New Roman" w:cs="Times New Roman"/>
          <w:sz w:val="24"/>
          <w:szCs w:val="24"/>
        </w:rPr>
        <w:t xml:space="preserve"> terikat, dengan menggunakan program SPSS (</w:t>
      </w:r>
      <w:r>
        <w:rPr>
          <w:rFonts w:ascii="Times New Roman" w:hAnsi="Times New Roman" w:cs="Times New Roman"/>
          <w:i/>
          <w:sz w:val="24"/>
          <w:szCs w:val="24"/>
        </w:rPr>
        <w:t>Statistical Package For Social Science)</w:t>
      </w:r>
      <w:r>
        <w:rPr>
          <w:rFonts w:ascii="Times New Roman" w:hAnsi="Times New Roman" w:cs="Times New Roman"/>
          <w:sz w:val="24"/>
          <w:szCs w:val="24"/>
        </w:rPr>
        <w:t xml:space="preserve"> (Ghazali, 2016).</w:t>
      </w:r>
    </w:p>
    <w:p>
      <w:pPr>
        <w:pStyle w:val="23"/>
        <w:numPr>
          <w:ilvl w:val="3"/>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Uji Asumsi Klasik</w:t>
      </w:r>
    </w:p>
    <w:p>
      <w:pPr>
        <w:pStyle w:val="23"/>
        <w:numPr>
          <w:ilvl w:val="0"/>
          <w:numId w:val="20"/>
        </w:numPr>
        <w:tabs>
          <w:tab w:val="left" w:pos="90"/>
        </w:tabs>
        <w:rPr>
          <w:rFonts w:ascii="Times New Roman" w:hAnsi="Times New Roman" w:cs="Times New Roman"/>
          <w:b/>
          <w:sz w:val="24"/>
          <w:szCs w:val="24"/>
        </w:rPr>
      </w:pPr>
      <w:r>
        <w:rPr>
          <w:rFonts w:ascii="Times New Roman" w:hAnsi="Times New Roman" w:cs="Times New Roman"/>
          <w:b/>
          <w:sz w:val="24"/>
          <w:szCs w:val="24"/>
        </w:rPr>
        <w:t>Uji Normalitas</w:t>
      </w:r>
    </w:p>
    <w:p>
      <w:pPr>
        <w:tabs>
          <w:tab w:val="left" w:pos="90"/>
        </w:tabs>
        <w:ind w:firstLine="720"/>
      </w:pPr>
      <w:r>
        <w:rPr>
          <w:rFonts w:ascii="Times New Roman" w:hAnsi="Times New Roman" w:cs="Times New Roman"/>
          <w:sz w:val="24"/>
          <w:szCs w:val="24"/>
        </w:rPr>
        <w:t xml:space="preserve">Uji Normalitas merupakan sebuah uji yang dilakukan dengan tujuan untuk menilai sebaran data pada sebuah kelompok data atau </w:t>
      </w:r>
      <w:r>
        <w:rPr>
          <w:rFonts w:ascii="Times New Roman" w:hAnsi="Times New Roman" w:cs="Times New Roman"/>
          <w:i/>
          <w:sz w:val="24"/>
          <w:szCs w:val="24"/>
        </w:rPr>
        <w:t>variabel,</w:t>
      </w:r>
      <w:r>
        <w:rPr>
          <w:rFonts w:ascii="Times New Roman" w:hAnsi="Times New Roman" w:cs="Times New Roman"/>
          <w:sz w:val="24"/>
          <w:szCs w:val="24"/>
        </w:rPr>
        <w:t> apakah sebaran data tersebut berdistribusi normal ataukah tidak (Ghazali, 2016).</w:t>
      </w:r>
    </w:p>
    <w:p>
      <w:pPr>
        <w:tabs>
          <w:tab w:val="left" w:pos="90"/>
        </w:tabs>
        <w:ind w:firstLine="720"/>
      </w:pPr>
      <w:r>
        <w:rPr>
          <w:rFonts w:ascii="Times New Roman" w:hAnsi="Times New Roman" w:cs="Times New Roman"/>
          <w:sz w:val="24"/>
          <w:szCs w:val="24"/>
        </w:rPr>
        <w:t xml:space="preserve">Tujuan uji normalitas mengetahui adanya variabel pengganggu yang terdistribusi seacra normal atau tidak dalam model </w:t>
      </w:r>
      <w:r>
        <w:rPr>
          <w:rFonts w:ascii="Times New Roman" w:hAnsi="Times New Roman" w:cs="Times New Roman"/>
          <w:i/>
          <w:sz w:val="24"/>
          <w:szCs w:val="24"/>
        </w:rPr>
        <w:t>regresi.</w:t>
      </w:r>
      <w:r>
        <w:rPr>
          <w:rFonts w:ascii="Times New Roman" w:hAnsi="Times New Roman" w:cs="Times New Roman"/>
          <w:sz w:val="24"/>
          <w:szCs w:val="24"/>
        </w:rPr>
        <w:t xml:space="preserve"> Untuk mengetahui d ata terdistribusi secara normal atau tidak, dapat dilakukan uji </w:t>
      </w:r>
      <w:r>
        <w:rPr>
          <w:rFonts w:ascii="Times New Roman" w:hAnsi="Times New Roman" w:cs="Times New Roman"/>
          <w:i/>
          <w:sz w:val="24"/>
          <w:szCs w:val="24"/>
        </w:rPr>
        <w:t>statistic Kolmogrov</w:t>
      </w:r>
      <w:r>
        <w:rPr>
          <w:rFonts w:ascii="Times New Roman" w:hAnsi="Times New Roman" w:cs="Times New Roman"/>
          <w:sz w:val="24"/>
          <w:szCs w:val="24"/>
        </w:rPr>
        <w:t xml:space="preserve">, </w:t>
      </w:r>
      <w:r>
        <w:rPr>
          <w:rFonts w:ascii="Times New Roman" w:hAnsi="Times New Roman" w:cs="Times New Roman"/>
          <w:i/>
          <w:sz w:val="24"/>
          <w:szCs w:val="24"/>
        </w:rPr>
        <w:t>Smirnov test,</w:t>
      </w:r>
      <w:r>
        <w:rPr>
          <w:rFonts w:ascii="Times New Roman" w:hAnsi="Times New Roman" w:cs="Times New Roman"/>
          <w:sz w:val="24"/>
          <w:szCs w:val="24"/>
        </w:rPr>
        <w:t xml:space="preserve"> di mana dinyatakan berdistribusi secara normal apabila bernilai &gt;0,05 (Ghazali, 2016).</w:t>
      </w:r>
    </w:p>
    <w:p>
      <w:pPr>
        <w:pStyle w:val="23"/>
        <w:tabs>
          <w:tab w:val="left" w:pos="90"/>
        </w:tabs>
        <w:ind w:left="480" w:firstLine="0"/>
        <w:rPr>
          <w:rFonts w:ascii="Times New Roman" w:hAnsi="Times New Roman" w:cs="Times New Roman"/>
          <w:sz w:val="24"/>
          <w:szCs w:val="24"/>
        </w:rPr>
      </w:pPr>
      <w:r>
        <w:rPr>
          <w:rFonts w:ascii="Times New Roman" w:hAnsi="Times New Roman" w:cs="Times New Roman"/>
          <w:sz w:val="24"/>
          <w:szCs w:val="24"/>
        </w:rPr>
        <w:t>H0 : Data residual berdistribusi normal</w:t>
      </w:r>
    </w:p>
    <w:p>
      <w:pPr>
        <w:pStyle w:val="23"/>
        <w:tabs>
          <w:tab w:val="left" w:pos="90"/>
        </w:tabs>
        <w:ind w:left="480" w:firstLine="0"/>
        <w:rPr>
          <w:rFonts w:ascii="Times New Roman" w:hAnsi="Times New Roman" w:cs="Times New Roman"/>
          <w:sz w:val="24"/>
          <w:szCs w:val="24"/>
        </w:rPr>
      </w:pPr>
      <w:r>
        <w:rPr>
          <w:rFonts w:ascii="Times New Roman" w:hAnsi="Times New Roman" w:cs="Times New Roman"/>
          <w:sz w:val="24"/>
          <w:szCs w:val="24"/>
        </w:rPr>
        <w:t>Ha : Data residual berdistribusi tidak normal</w:t>
      </w:r>
    </w:p>
    <w:p>
      <w:pPr>
        <w:pStyle w:val="23"/>
        <w:numPr>
          <w:ilvl w:val="0"/>
          <w:numId w:val="20"/>
        </w:numPr>
        <w:tabs>
          <w:tab w:val="left" w:pos="90"/>
        </w:tabs>
        <w:rPr>
          <w:rFonts w:ascii="Times New Roman" w:hAnsi="Times New Roman" w:cs="Times New Roman"/>
          <w:b/>
          <w:sz w:val="24"/>
          <w:szCs w:val="24"/>
        </w:rPr>
      </w:pPr>
      <w:r>
        <w:rPr>
          <w:rFonts w:ascii="Times New Roman" w:hAnsi="Times New Roman" w:cs="Times New Roman"/>
          <w:b/>
          <w:sz w:val="24"/>
          <w:szCs w:val="24"/>
        </w:rPr>
        <w:t>Uji Multikolincaritas</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multikolinearitas </w:t>
      </w:r>
      <w:r>
        <w:rPr>
          <w:rStyle w:val="25"/>
          <w:rFonts w:ascii="Times New Roman" w:hAnsi="Times New Roman" w:cs="Times New Roman"/>
          <w:sz w:val="24"/>
          <w:szCs w:val="24"/>
        </w:rPr>
        <w:t xml:space="preserve">merupakan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yang dilakukan untuk memastikan apakah di dalam sebuah model regresi ada interkorelasi atau kolinearitas antar variabel bebas </w:t>
      </w:r>
      <w:r>
        <w:rPr>
          <w:rFonts w:ascii="Times New Roman" w:hAnsi="Times New Roman" w:cs="Times New Roman"/>
          <w:sz w:val="24"/>
          <w:szCs w:val="24"/>
        </w:rPr>
        <w:t>(Ghozali, 2016).</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Tujuan Uji multikolinearitas untuk mengetahui adanya korelasi antar variabel bebas dalam model</w:t>
      </w:r>
      <w:r>
        <w:rPr>
          <w:rFonts w:ascii="Times New Roman" w:hAnsi="Times New Roman" w:cs="Times New Roman"/>
          <w:i/>
          <w:sz w:val="24"/>
          <w:szCs w:val="24"/>
        </w:rPr>
        <w:t xml:space="preserve"> regresi</w:t>
      </w:r>
      <w:r>
        <w:rPr>
          <w:rFonts w:ascii="Times New Roman" w:hAnsi="Times New Roman" w:cs="Times New Roman"/>
          <w:sz w:val="24"/>
          <w:szCs w:val="24"/>
        </w:rPr>
        <w:t xml:space="preserve">. Model </w:t>
      </w:r>
      <w:r>
        <w:rPr>
          <w:rFonts w:ascii="Times New Roman" w:hAnsi="Times New Roman" w:cs="Times New Roman"/>
          <w:i/>
          <w:sz w:val="24"/>
          <w:szCs w:val="24"/>
        </w:rPr>
        <w:t xml:space="preserve">regresi </w:t>
      </w:r>
      <w:r>
        <w:rPr>
          <w:rFonts w:ascii="Times New Roman" w:hAnsi="Times New Roman" w:cs="Times New Roman"/>
          <w:sz w:val="24"/>
          <w:szCs w:val="24"/>
        </w:rPr>
        <w:t xml:space="preserve">yang baik adalah tidak adanya korelasi diantara variabel bebas, Cara untuk mengetahui adanya korelasi antar variabel bebas adalah dengan melihat nilai </w:t>
      </w:r>
      <w:r>
        <w:rPr>
          <w:rFonts w:ascii="Times New Roman" w:hAnsi="Times New Roman" w:cs="Times New Roman"/>
          <w:i/>
          <w:sz w:val="24"/>
          <w:szCs w:val="24"/>
        </w:rPr>
        <w:t>Variance Inflation Factor</w:t>
      </w:r>
      <w:r>
        <w:rPr>
          <w:rFonts w:ascii="Times New Roman" w:hAnsi="Times New Roman" w:cs="Times New Roman"/>
          <w:sz w:val="24"/>
          <w:szCs w:val="24"/>
        </w:rPr>
        <w:t xml:space="preserve"> (VIF), di mana nilai </w:t>
      </w:r>
      <w:r>
        <w:rPr>
          <w:rFonts w:ascii="Times New Roman" w:hAnsi="Times New Roman" w:cs="Times New Roman"/>
          <w:i/>
          <w:sz w:val="24"/>
          <w:szCs w:val="24"/>
        </w:rPr>
        <w:t>cut off</w:t>
      </w:r>
      <w:r>
        <w:rPr>
          <w:rFonts w:ascii="Times New Roman" w:hAnsi="Times New Roman" w:cs="Times New Roman"/>
          <w:sz w:val="24"/>
          <w:szCs w:val="24"/>
        </w:rPr>
        <w:t xml:space="preserve"> yang biasa digunakan dalam menunjukkan adanya </w:t>
      </w:r>
      <w:r>
        <w:rPr>
          <w:rFonts w:ascii="Times New Roman" w:hAnsi="Times New Roman" w:cs="Times New Roman"/>
          <w:i/>
          <w:sz w:val="24"/>
          <w:szCs w:val="24"/>
        </w:rPr>
        <w:t>multikolonieritas</w:t>
      </w:r>
      <w:r>
        <w:rPr>
          <w:rFonts w:ascii="Times New Roman" w:hAnsi="Times New Roman" w:cs="Times New Roman"/>
          <w:sz w:val="24"/>
          <w:szCs w:val="24"/>
        </w:rPr>
        <w:t xml:space="preserve"> adalah nilai </w:t>
      </w:r>
      <w:r>
        <w:rPr>
          <w:rFonts w:ascii="Times New Roman" w:hAnsi="Times New Roman" w:cs="Times New Roman"/>
          <w:i/>
          <w:sz w:val="24"/>
          <w:szCs w:val="24"/>
        </w:rPr>
        <w:t>Tolerance</w:t>
      </w:r>
      <w:r>
        <w:rPr>
          <w:rFonts w:ascii="Times New Roman" w:hAnsi="Times New Roman" w:cs="Times New Roman"/>
          <w:sz w:val="24"/>
          <w:szCs w:val="24"/>
        </w:rPr>
        <w:t xml:space="preserve"> ≤0.10 atau sama dengan nilai VIF≥10 (Ghozali, 2016).</w:t>
      </w:r>
    </w:p>
    <w:p>
      <w:pPr>
        <w:pStyle w:val="23"/>
        <w:numPr>
          <w:ilvl w:val="0"/>
          <w:numId w:val="20"/>
        </w:numPr>
        <w:tabs>
          <w:tab w:val="left" w:pos="90"/>
        </w:tabs>
        <w:ind w:left="270" w:hanging="270"/>
        <w:rPr>
          <w:rFonts w:ascii="Times New Roman" w:hAnsi="Times New Roman" w:cs="Times New Roman"/>
          <w:b/>
          <w:sz w:val="24"/>
          <w:szCs w:val="24"/>
        </w:rPr>
      </w:pPr>
      <w:r>
        <w:rPr>
          <w:rFonts w:ascii="Times New Roman" w:hAnsi="Times New Roman" w:cs="Times New Roman"/>
          <w:b/>
          <w:sz w:val="24"/>
          <w:szCs w:val="24"/>
        </w:rPr>
        <w:t>Uji Autokorelasi</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autokorelasi merupakan </w:t>
      </w:r>
      <w:r>
        <w:rPr>
          <w:rStyle w:val="25"/>
          <w:rFonts w:ascii="Times New Roman" w:hAnsi="Times New Roman" w:cs="Times New Roman"/>
          <w:sz w:val="24"/>
          <w:szCs w:val="24"/>
        </w:rPr>
        <w:t xml:space="preserve">sebuah analisis statistik yang dilakukan untuk mengetahui adakah korelasi </w:t>
      </w:r>
      <w:r>
        <w:rPr>
          <w:rStyle w:val="25"/>
          <w:rFonts w:ascii="Times New Roman" w:hAnsi="Times New Roman" w:cs="Times New Roman"/>
          <w:i/>
          <w:sz w:val="24"/>
          <w:szCs w:val="24"/>
        </w:rPr>
        <w:t>variabel</w:t>
      </w:r>
      <w:r>
        <w:rPr>
          <w:rStyle w:val="25"/>
          <w:rFonts w:ascii="Times New Roman" w:hAnsi="Times New Roman" w:cs="Times New Roman"/>
          <w:sz w:val="24"/>
          <w:szCs w:val="24"/>
        </w:rPr>
        <w:t xml:space="preserve"> yang ada di dalam model prediksi dengan perubahan waktu </w:t>
      </w:r>
      <w:r>
        <w:rPr>
          <w:rFonts w:ascii="Times New Roman" w:hAnsi="Times New Roman" w:cs="Times New Roman"/>
          <w:sz w:val="24"/>
          <w:szCs w:val="24"/>
        </w:rPr>
        <w:t>(Ghazali, 2016).</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Tujuan dari uji autokorelasi adalah untuk menunjukkan korelasi antara kesalahan perancu selama "t" dan kesalahan selama "t-1" dalam model regresi. Salah satu cara untuk menentukan ada tidaknya autokorelasi adalah dengan menggunakan uji berjalan, yang merupakan bagian dari uji non-parametrik untuk menentukan apakah terdapat korelasi acak atau sistematis pada data residual. Jika itu adalah hasil Asymp.Sig. (Tail 2) lebih kecil dari 0,05, tolak H0 dan terima HA. ​​Oleh karena itu, jika Asymp dibangkitkan, data residual tidak acak. Jika tanda tangan (tail 2) lebih besar dari 0,05 maka H0 diterima dan HA ditolak, sehingga data residual terjadi secara acak (Ghazali, 2016). Asumsi dasar untuk menjalankan pengujian adalah:</w:t>
      </w:r>
    </w:p>
    <w:p>
      <w:pPr>
        <w:pStyle w:val="23"/>
        <w:tabs>
          <w:tab w:val="left" w:pos="90"/>
        </w:tabs>
        <w:ind w:left="480" w:firstLine="0"/>
        <w:rPr>
          <w:rFonts w:ascii="Times New Roman" w:hAnsi="Times New Roman" w:cs="Times New Roman"/>
          <w:sz w:val="24"/>
          <w:szCs w:val="24"/>
        </w:rPr>
      </w:pPr>
      <w:r>
        <w:rPr>
          <w:rFonts w:ascii="Times New Roman" w:hAnsi="Times New Roman" w:cs="Times New Roman"/>
          <w:sz w:val="24"/>
          <w:szCs w:val="24"/>
        </w:rPr>
        <w:t>H0: residual (res_1) random (acak)</w:t>
      </w:r>
    </w:p>
    <w:p>
      <w:pPr>
        <w:pStyle w:val="23"/>
        <w:tabs>
          <w:tab w:val="left" w:pos="90"/>
        </w:tabs>
        <w:ind w:left="480" w:firstLine="0"/>
        <w:rPr>
          <w:rFonts w:ascii="Times New Roman" w:hAnsi="Times New Roman" w:cs="Times New Roman"/>
          <w:sz w:val="24"/>
          <w:szCs w:val="24"/>
        </w:rPr>
      </w:pPr>
      <w:r>
        <w:rPr>
          <w:rFonts w:ascii="Times New Roman" w:hAnsi="Times New Roman" w:cs="Times New Roman"/>
          <w:sz w:val="24"/>
          <w:szCs w:val="24"/>
        </w:rPr>
        <w:t>H1: residual (res_1) tidak random</w:t>
      </w:r>
    </w:p>
    <w:p>
      <w:pPr>
        <w:pStyle w:val="23"/>
        <w:numPr>
          <w:ilvl w:val="0"/>
          <w:numId w:val="20"/>
        </w:numPr>
        <w:tabs>
          <w:tab w:val="left" w:pos="90"/>
        </w:tabs>
        <w:rPr>
          <w:rFonts w:ascii="Times New Roman" w:hAnsi="Times New Roman" w:cs="Times New Roman"/>
          <w:b/>
          <w:sz w:val="24"/>
          <w:szCs w:val="24"/>
        </w:rPr>
      </w:pPr>
      <w:r>
        <w:rPr>
          <w:rFonts w:ascii="Times New Roman" w:hAnsi="Times New Roman" w:cs="Times New Roman"/>
          <w:b/>
          <w:sz w:val="24"/>
          <w:szCs w:val="24"/>
        </w:rPr>
        <w:t>Uji Heteroskedastisitas</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Heteroskedastisitas </w:t>
      </w:r>
      <w:r>
        <w:rPr>
          <w:rStyle w:val="25"/>
          <w:rFonts w:ascii="Times New Roman" w:hAnsi="Times New Roman" w:cs="Times New Roman"/>
          <w:sz w:val="24"/>
          <w:szCs w:val="24"/>
        </w:rPr>
        <w:t xml:space="preserve">adalah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yang menilai apakah ada ketidaksamaan varian dari residual untuk semua pengamatan pada model regresi linear.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ini merupakan salah satu dari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asumsi klasik yang harus dilakukan pada regresi linear </w:t>
      </w:r>
      <w:r>
        <w:rPr>
          <w:rFonts w:ascii="Times New Roman" w:hAnsi="Times New Roman" w:cs="Times New Roman"/>
          <w:sz w:val="24"/>
          <w:szCs w:val="24"/>
        </w:rPr>
        <w:t xml:space="preserve">(Ghazali, 2016). </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Heterokedastisitas untuk melihat adanya ketidaksamaan </w:t>
      </w:r>
      <w:r>
        <w:rPr>
          <w:rFonts w:ascii="Times New Roman" w:hAnsi="Times New Roman" w:cs="Times New Roman"/>
          <w:i/>
          <w:sz w:val="24"/>
          <w:szCs w:val="24"/>
        </w:rPr>
        <w:t>variance</w:t>
      </w:r>
      <w:r>
        <w:rPr>
          <w:rFonts w:ascii="Times New Roman" w:hAnsi="Times New Roman" w:cs="Times New Roman"/>
          <w:sz w:val="24"/>
          <w:szCs w:val="24"/>
        </w:rPr>
        <w:t xml:space="preserve"> dari </w:t>
      </w:r>
      <w:r>
        <w:rPr>
          <w:rFonts w:ascii="Times New Roman" w:hAnsi="Times New Roman" w:cs="Times New Roman"/>
          <w:i/>
          <w:sz w:val="24"/>
          <w:szCs w:val="24"/>
        </w:rPr>
        <w:t>residual</w:t>
      </w:r>
      <w:r>
        <w:rPr>
          <w:rFonts w:ascii="Times New Roman" w:hAnsi="Times New Roman" w:cs="Times New Roman"/>
          <w:sz w:val="24"/>
          <w:szCs w:val="24"/>
        </w:rPr>
        <w:t xml:space="preserve"> satu pengamatan ke pengamatan lain dalam model </w:t>
      </w:r>
      <w:r>
        <w:rPr>
          <w:rFonts w:ascii="Times New Roman" w:hAnsi="Times New Roman" w:cs="Times New Roman"/>
          <w:i/>
          <w:sz w:val="24"/>
          <w:szCs w:val="24"/>
        </w:rPr>
        <w:t>regresi</w:t>
      </w:r>
      <w:r>
        <w:rPr>
          <w:rFonts w:ascii="Times New Roman" w:hAnsi="Times New Roman" w:cs="Times New Roman"/>
          <w:sz w:val="24"/>
          <w:szCs w:val="24"/>
        </w:rPr>
        <w:t>. Apabila hasi dari satu pengamatan ke pangamatan lain tetap maka tidak terjadi heterokedastisitas atau disebut denganhomokedastisitas, sedangkan apabila hasil dari satu pengamatan ke pengamatan lain berubah maka terjadi heterokedastisitas.</w:t>
      </w:r>
    </w:p>
    <w:p>
      <w:pPr>
        <w:tabs>
          <w:tab w:val="left" w:pos="90"/>
        </w:tabs>
        <w:ind w:firstLine="0"/>
        <w:rPr>
          <w:rFonts w:ascii="Times New Roman" w:hAnsi="Times New Roman" w:cs="Times New Roman"/>
          <w:sz w:val="24"/>
          <w:szCs w:val="24"/>
        </w:rPr>
      </w:pPr>
      <w:r>
        <w:rPr>
          <w:rFonts w:ascii="Times New Roman" w:hAnsi="Times New Roman" w:cs="Times New Roman"/>
          <w:sz w:val="24"/>
          <w:szCs w:val="24"/>
        </w:rPr>
        <w:t>Hasil yang baik adalah hasil yang menunjukkan homokedastisitas atau tidak terjadi heterokedastisitas (Ghazali, 2016).</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Dalam penelitian ini untuk menguji ada tidaknya heterokedastisitas maka dilakukan dengan uji</w:t>
      </w:r>
      <w:r>
        <w:rPr>
          <w:rFonts w:ascii="Times New Roman" w:hAnsi="Times New Roman" w:cs="Times New Roman"/>
          <w:i/>
          <w:sz w:val="24"/>
          <w:szCs w:val="24"/>
        </w:rPr>
        <w:t xml:space="preserve"> glesjer</w:t>
      </w:r>
      <w:r>
        <w:rPr>
          <w:rFonts w:ascii="Times New Roman" w:hAnsi="Times New Roman" w:cs="Times New Roman"/>
          <w:sz w:val="24"/>
          <w:szCs w:val="24"/>
        </w:rPr>
        <w:t xml:space="preserve">. Uji </w:t>
      </w:r>
      <w:r>
        <w:rPr>
          <w:rFonts w:ascii="Times New Roman" w:hAnsi="Times New Roman" w:cs="Times New Roman"/>
          <w:i/>
          <w:sz w:val="24"/>
          <w:szCs w:val="24"/>
        </w:rPr>
        <w:t>glesjer</w:t>
      </w:r>
      <w:r>
        <w:rPr>
          <w:rFonts w:ascii="Times New Roman" w:hAnsi="Times New Roman" w:cs="Times New Roman"/>
          <w:sz w:val="24"/>
          <w:szCs w:val="24"/>
        </w:rPr>
        <w:t xml:space="preserve"> menyatakan bahwa variansi merupakan fungsi dari variabel independen, apabila nilai signifikansi dari </w:t>
      </w:r>
      <w:r>
        <w:rPr>
          <w:rFonts w:ascii="Times New Roman" w:hAnsi="Times New Roman" w:cs="Times New Roman"/>
          <w:i/>
          <w:sz w:val="24"/>
          <w:szCs w:val="24"/>
        </w:rPr>
        <w:t>variabel</w:t>
      </w:r>
      <w:r>
        <w:rPr>
          <w:rFonts w:ascii="Times New Roman" w:hAnsi="Times New Roman" w:cs="Times New Roman"/>
          <w:sz w:val="24"/>
          <w:szCs w:val="24"/>
        </w:rPr>
        <w:t xml:space="preserve"> independen dibawah 0.05 maka terjadi heterokedastisitas, sedangkan apabila berada diatas 0.05 maka tidak terjadi heterokedastisitas (homokedastisitas) (Ghazali, 2016).</w:t>
      </w:r>
    </w:p>
    <w:p>
      <w:pPr>
        <w:tabs>
          <w:tab w:val="left" w:pos="90"/>
        </w:tabs>
        <w:ind w:firstLine="720"/>
        <w:rPr>
          <w:rFonts w:ascii="Times New Roman" w:hAnsi="Times New Roman" w:cs="Times New Roman"/>
          <w:sz w:val="24"/>
          <w:szCs w:val="24"/>
        </w:rPr>
      </w:pPr>
    </w:p>
    <w:p>
      <w:pPr>
        <w:tabs>
          <w:tab w:val="left" w:pos="90"/>
        </w:tabs>
        <w:ind w:firstLine="720"/>
        <w:rPr>
          <w:rFonts w:ascii="Times New Roman" w:hAnsi="Times New Roman" w:cs="Times New Roman"/>
          <w:sz w:val="24"/>
          <w:szCs w:val="24"/>
        </w:rPr>
      </w:pPr>
    </w:p>
    <w:p>
      <w:pPr>
        <w:tabs>
          <w:tab w:val="left" w:pos="90"/>
        </w:tabs>
        <w:ind w:firstLine="720"/>
        <w:rPr>
          <w:rFonts w:ascii="Times New Roman" w:hAnsi="Times New Roman" w:cs="Times New Roman"/>
          <w:sz w:val="24"/>
          <w:szCs w:val="24"/>
        </w:rPr>
      </w:pPr>
    </w:p>
    <w:p>
      <w:pPr>
        <w:pStyle w:val="23"/>
        <w:numPr>
          <w:ilvl w:val="2"/>
          <w:numId w:val="18"/>
        </w:numPr>
        <w:rPr>
          <w:rFonts w:ascii="Times New Roman" w:hAnsi="Times New Roman" w:cs="Times New Roman"/>
          <w:sz w:val="24"/>
          <w:szCs w:val="24"/>
        </w:rPr>
      </w:pPr>
      <w:r>
        <w:rPr>
          <w:rFonts w:ascii="Times New Roman" w:hAnsi="Times New Roman" w:cs="Times New Roman"/>
          <w:b/>
          <w:sz w:val="24"/>
          <w:szCs w:val="24"/>
        </w:rPr>
        <w:t>Rancangan Uji Hipotesis</w:t>
      </w:r>
    </w:p>
    <w:p>
      <w:pPr>
        <w:pStyle w:val="23"/>
        <w:numPr>
          <w:ilvl w:val="3"/>
          <w:numId w:val="18"/>
        </w:numPr>
        <w:tabs>
          <w:tab w:val="left" w:pos="90"/>
        </w:tabs>
        <w:rPr>
          <w:rFonts w:ascii="Times New Roman" w:hAnsi="Times New Roman" w:cs="Times New Roman"/>
          <w:b/>
          <w:sz w:val="24"/>
          <w:szCs w:val="24"/>
        </w:rPr>
      </w:pPr>
      <w:r>
        <w:rPr>
          <w:rFonts w:ascii="Times New Roman" w:hAnsi="Times New Roman" w:cs="Times New Roman"/>
          <w:b/>
          <w:sz w:val="24"/>
          <w:szCs w:val="24"/>
        </w:rPr>
        <w:t>Uji Koefisien Determinasi</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koefisien determinanasi merupakan ukuran yang mengatakan seberapa baik garis regresi sampel cocok atau sesuai dengan datanya </w:t>
      </w:r>
      <w:sdt>
        <w:sdtPr>
          <w:rPr>
            <w:rFonts w:ascii="Times New Roman" w:hAnsi="Times New Roman" w:cs="Times New Roman"/>
            <w:sz w:val="24"/>
            <w:szCs w:val="24"/>
          </w:rPr>
          <w:id w:val="53978283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Sar17 \l 1033 </w:instrText>
          </w:r>
          <w:r>
            <w:rPr>
              <w:rFonts w:ascii="Times New Roman" w:hAnsi="Times New Roman" w:cs="Times New Roman"/>
              <w:sz w:val="24"/>
              <w:szCs w:val="24"/>
            </w:rPr>
            <w:fldChar w:fldCharType="separate"/>
          </w:r>
          <w:r>
            <w:rPr>
              <w:rFonts w:ascii="Times New Roman" w:hAnsi="Times New Roman" w:cs="Times New Roman"/>
              <w:sz w:val="24"/>
              <w:szCs w:val="24"/>
            </w:rPr>
            <w:t>(Sartika, 2017)</w:t>
          </w:r>
          <w:r>
            <w:rPr>
              <w:rFonts w:ascii="Times New Roman" w:hAnsi="Times New Roman" w:cs="Times New Roman"/>
              <w:sz w:val="24"/>
              <w:szCs w:val="24"/>
            </w:rPr>
            <w:fldChar w:fldCharType="end"/>
          </w:r>
        </w:sdtContent>
      </w:sdt>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koefisien determinanasi bertujuan untuk mengukur seberapa besar </w:t>
      </w:r>
      <w:r>
        <w:rPr>
          <w:rFonts w:ascii="Times New Roman" w:hAnsi="Times New Roman" w:cs="Times New Roman"/>
          <w:i/>
          <w:sz w:val="24"/>
          <w:szCs w:val="24"/>
        </w:rPr>
        <w:t>variabel</w:t>
      </w:r>
      <w:r>
        <w:rPr>
          <w:rFonts w:ascii="Times New Roman" w:hAnsi="Times New Roman" w:cs="Times New Roman"/>
          <w:sz w:val="24"/>
          <w:szCs w:val="24"/>
        </w:rPr>
        <w:t xml:space="preserve"> independen berpengaruh terhadap </w:t>
      </w:r>
      <w:r>
        <w:rPr>
          <w:rFonts w:ascii="Times New Roman" w:hAnsi="Times New Roman" w:cs="Times New Roman"/>
          <w:i/>
          <w:sz w:val="24"/>
          <w:szCs w:val="24"/>
        </w:rPr>
        <w:t>variabel</w:t>
      </w:r>
      <w:r>
        <w:rPr>
          <w:rFonts w:ascii="Times New Roman" w:hAnsi="Times New Roman" w:cs="Times New Roman"/>
          <w:sz w:val="24"/>
          <w:szCs w:val="24"/>
        </w:rPr>
        <w:t xml:space="preserve"> dependen, Nilai dar </w:t>
      </w:r>
      <w:r>
        <w:rPr>
          <w:rFonts w:ascii="Cambria Math" w:hAnsi="Cambria Math" w:cs="Times New Roman"/>
          <w:sz w:val="24"/>
          <w:szCs w:val="24"/>
        </w:rPr>
        <w:t>𝑅</w:t>
      </w:r>
      <w:r>
        <w:rPr>
          <w:rFonts w:ascii="Times New Roman" w:hAnsi="Times New Roman" w:cs="Times New Roman"/>
          <w:sz w:val="24"/>
          <w:szCs w:val="24"/>
        </w:rPr>
        <w:t xml:space="preserve">2 adalah antara nol dan satu, di mana nilai </w:t>
      </w:r>
      <w:r>
        <w:rPr>
          <w:rFonts w:ascii="Cambria Math" w:hAnsi="Times New Roman" w:cs="Times New Roman"/>
          <w:sz w:val="24"/>
          <w:szCs w:val="24"/>
        </w:rPr>
        <w:t>𝑅</w:t>
      </w:r>
      <w:r>
        <w:rPr>
          <w:rFonts w:ascii="Times New Roman" w:hAnsi="Times New Roman" w:cs="Times New Roman"/>
          <w:sz w:val="24"/>
          <w:szCs w:val="24"/>
        </w:rPr>
        <w:t xml:space="preserve">2 yang kecil menunjukkan bahwa kemampuan variabel independen dalam menjelaskan variabel dependen sangat terbatas, sedangkan apabila nilai </w:t>
      </w:r>
      <w:r>
        <w:rPr>
          <w:rFonts w:ascii="Cambria Math" w:hAnsi="Times New Roman" w:cs="Times New Roman"/>
          <w:sz w:val="24"/>
          <w:szCs w:val="24"/>
        </w:rPr>
        <w:t>𝑅</w:t>
      </w:r>
      <w:r>
        <w:rPr>
          <w:rFonts w:ascii="Times New Roman" w:hAnsi="Times New Roman" w:cs="Times New Roman"/>
          <w:sz w:val="24"/>
          <w:szCs w:val="24"/>
        </w:rPr>
        <w:t>2 mendekati angka 1 maka menunjukkan bahwa kemampuan variabel independen dalam menjelaskan dependen sangat luas atau dapat mencakup seluruh informasi (Ghazali, 2016).</w:t>
      </w:r>
    </w:p>
    <w:p>
      <w:pPr>
        <w:tabs>
          <w:tab w:val="left" w:pos="90"/>
        </w:tabs>
        <w:ind w:firstLine="0"/>
        <w:rPr>
          <w:rFonts w:ascii="Times New Roman" w:hAnsi="Times New Roman" w:cs="Times New Roman"/>
          <w:b/>
          <w:sz w:val="24"/>
          <w:szCs w:val="24"/>
        </w:rPr>
      </w:pPr>
      <w:r>
        <w:rPr>
          <w:rFonts w:ascii="Times New Roman" w:hAnsi="Times New Roman" w:cs="Times New Roman"/>
          <w:b/>
          <w:sz w:val="24"/>
          <w:szCs w:val="24"/>
        </w:rPr>
        <w:t>3.2.6.2 Uji Hipotesis (Uji F)</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F digunakan untuk mengetahui pengaruh secara bersama sama antara variabel independen terhadap variabel dependen </w:t>
      </w:r>
      <w:sdt>
        <w:sdtPr>
          <w:rPr>
            <w:rFonts w:ascii="Times New Roman" w:hAnsi="Times New Roman" w:cs="Times New Roman"/>
            <w:sz w:val="24"/>
            <w:szCs w:val="24"/>
          </w:rPr>
          <w:id w:val="539782838"/>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Sar17 \l 1033 </w:instrText>
          </w:r>
          <w:r>
            <w:rPr>
              <w:rFonts w:ascii="Times New Roman" w:hAnsi="Times New Roman" w:cs="Times New Roman"/>
              <w:sz w:val="24"/>
              <w:szCs w:val="24"/>
            </w:rPr>
            <w:fldChar w:fldCharType="separate"/>
          </w:r>
          <w:r>
            <w:rPr>
              <w:rFonts w:ascii="Times New Roman" w:hAnsi="Times New Roman" w:cs="Times New Roman"/>
              <w:sz w:val="24"/>
              <w:szCs w:val="24"/>
            </w:rPr>
            <w:t>(Sartika,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 Untuk menentukan nilai uji t digunakan kriteria sebagai berikut: </w:t>
      </w:r>
    </w:p>
    <w:p>
      <w:pPr>
        <w:pStyle w:val="23"/>
        <w:numPr>
          <w:ilvl w:val="0"/>
          <w:numId w:val="21"/>
        </w:numPr>
        <w:tabs>
          <w:tab w:val="left" w:pos="90"/>
        </w:tabs>
        <w:rPr>
          <w:rFonts w:ascii="Times New Roman" w:hAnsi="Times New Roman" w:cs="Times New Roman"/>
          <w:sz w:val="24"/>
          <w:szCs w:val="24"/>
        </w:rPr>
      </w:pPr>
      <w:r>
        <w:rPr>
          <w:rFonts w:ascii="Times New Roman" w:hAnsi="Times New Roman" w:cs="Times New Roman"/>
          <w:sz w:val="24"/>
          <w:szCs w:val="24"/>
        </w:rPr>
        <w:t xml:space="preserve">Jika signifikansi &gt; 0,05, maka Ho diterima dan Ha ditolak.  </w:t>
      </w:r>
    </w:p>
    <w:p>
      <w:pPr>
        <w:pStyle w:val="23"/>
        <w:numPr>
          <w:ilvl w:val="0"/>
          <w:numId w:val="21"/>
        </w:numPr>
        <w:tabs>
          <w:tab w:val="left" w:pos="90"/>
        </w:tabs>
        <w:rPr>
          <w:rFonts w:ascii="Times New Roman" w:hAnsi="Times New Roman" w:cs="Times New Roman"/>
          <w:sz w:val="24"/>
          <w:szCs w:val="24"/>
        </w:rPr>
      </w:pPr>
      <w:r>
        <w:rPr>
          <w:rFonts w:ascii="Times New Roman" w:hAnsi="Times New Roman" w:cs="Times New Roman"/>
          <w:sz w:val="24"/>
          <w:szCs w:val="24"/>
        </w:rPr>
        <w:t xml:space="preserve"> Jika signifikansi &lt;  0,05,, maka Ho ditolak dan Ha diterima</w:t>
      </w:r>
    </w:p>
    <w:p>
      <w:pPr>
        <w:tabs>
          <w:tab w:val="left" w:pos="90"/>
        </w:tabs>
        <w:ind w:firstLine="0"/>
        <w:rPr>
          <w:rFonts w:ascii="Times New Roman" w:hAnsi="Times New Roman" w:cs="Times New Roman"/>
          <w:sz w:val="24"/>
          <w:szCs w:val="24"/>
        </w:rPr>
      </w:pPr>
      <w:r>
        <w:rPr>
          <w:rFonts w:ascii="Times New Roman" w:hAnsi="Times New Roman" w:cs="Times New Roman"/>
          <w:b/>
          <w:sz w:val="24"/>
          <w:szCs w:val="24"/>
        </w:rPr>
        <w:t>3.2.6.3 Uji Hipotesis (Uji t)</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(t) adalah Suatu uji untuk mengukur seberapa jauh pengaruh dari tiap-tiap </w:t>
      </w:r>
      <w:r>
        <w:rPr>
          <w:rFonts w:ascii="Times New Roman" w:hAnsi="Times New Roman" w:cs="Times New Roman"/>
          <w:i/>
          <w:sz w:val="24"/>
          <w:szCs w:val="24"/>
        </w:rPr>
        <w:t xml:space="preserve">variabel </w:t>
      </w:r>
      <w:r>
        <w:rPr>
          <w:rFonts w:ascii="Times New Roman" w:hAnsi="Times New Roman" w:cs="Times New Roman"/>
          <w:sz w:val="24"/>
          <w:szCs w:val="24"/>
        </w:rPr>
        <w:t xml:space="preserve">independen terhadap </w:t>
      </w:r>
      <w:r>
        <w:rPr>
          <w:rFonts w:ascii="Times New Roman" w:hAnsi="Times New Roman" w:cs="Times New Roman"/>
          <w:i/>
          <w:sz w:val="24"/>
          <w:szCs w:val="24"/>
        </w:rPr>
        <w:t>variabel</w:t>
      </w:r>
      <w:r>
        <w:rPr>
          <w:rFonts w:ascii="Times New Roman" w:hAnsi="Times New Roman" w:cs="Times New Roman"/>
          <w:sz w:val="24"/>
          <w:szCs w:val="24"/>
        </w:rPr>
        <w:t xml:space="preserve"> dependen disebut dengan uji hipotesis. Uji t dilakukan dengan cara membandingkan antara nilai statistic t dengan kritis menurut tabel. Adapun kriterianya adalah:</w:t>
      </w:r>
    </w:p>
    <w:p>
      <w:pPr>
        <w:pStyle w:val="23"/>
        <w:numPr>
          <w:ilvl w:val="0"/>
          <w:numId w:val="22"/>
        </w:numPr>
        <w:tabs>
          <w:tab w:val="left" w:pos="90"/>
        </w:tabs>
        <w:rPr>
          <w:rFonts w:ascii="Times New Roman" w:hAnsi="Times New Roman" w:cs="Times New Roman"/>
          <w:sz w:val="24"/>
          <w:szCs w:val="24"/>
        </w:rPr>
      </w:pPr>
      <w:r>
        <w:rPr>
          <w:rFonts w:ascii="Times New Roman" w:hAnsi="Times New Roman" w:cs="Times New Roman"/>
          <w:sz w:val="24"/>
          <w:szCs w:val="24"/>
        </w:rPr>
        <w:t>t hitung &gt; t tabel, maka Ho ditolak, sedangkan</w:t>
      </w:r>
    </w:p>
    <w:p>
      <w:pPr>
        <w:pStyle w:val="23"/>
        <w:numPr>
          <w:ilvl w:val="0"/>
          <w:numId w:val="22"/>
        </w:numPr>
        <w:tabs>
          <w:tab w:val="left" w:pos="90"/>
        </w:tabs>
        <w:rPr>
          <w:rFonts w:ascii="Times New Roman" w:hAnsi="Times New Roman" w:cs="Times New Roman"/>
          <w:sz w:val="24"/>
          <w:szCs w:val="24"/>
        </w:rPr>
      </w:pPr>
      <w:r>
        <w:rPr>
          <w:rFonts w:ascii="Times New Roman" w:hAnsi="Times New Roman" w:cs="Times New Roman"/>
          <w:sz w:val="24"/>
          <w:szCs w:val="24"/>
        </w:rPr>
        <w:t>t hitung &lt; t tabel, maka Ho diterima.</w:t>
      </w:r>
    </w:p>
    <w:p>
      <w:pPr>
        <w:tabs>
          <w:tab w:val="left" w:pos="90"/>
        </w:tabs>
        <w:ind w:firstLine="720"/>
        <w:rPr>
          <w:rFonts w:ascii="Times New Roman" w:hAnsi="Times New Roman" w:cs="Times New Roman"/>
          <w:b/>
          <w:sz w:val="24"/>
          <w:szCs w:val="24"/>
        </w:rPr>
      </w:pPr>
      <w:r>
        <w:rPr>
          <w:rFonts w:ascii="Times New Roman" w:hAnsi="Times New Roman" w:cs="Times New Roman"/>
          <w:sz w:val="24"/>
          <w:szCs w:val="24"/>
        </w:rPr>
        <w:t>Selain itu, cara untuk melakukan uji t adalah dengan memandingkan nilai signifikan yang diperoleh dengan signifikan sebesar 0.05. Apabila nilai signifikan &lt; 0.05 menunjukkan bahwa variabel independen berpengaruh secara signifikan terhadap variabel dependen sehingga Ho diterima</w:t>
      </w:r>
      <w:r>
        <w:rPr>
          <w:rFonts w:ascii="Times New Roman" w:hAnsi="Times New Roman" w:cs="Times New Roman"/>
          <w:b/>
          <w:sz w:val="24"/>
          <w:szCs w:val="24"/>
        </w:rPr>
        <w:t>.</w:t>
      </w:r>
    </w:p>
    <w:p>
      <w:pPr>
        <w:pStyle w:val="23"/>
        <w:numPr>
          <w:ilvl w:val="3"/>
          <w:numId w:val="23"/>
        </w:numPr>
        <w:tabs>
          <w:tab w:val="left" w:pos="90"/>
        </w:tabs>
        <w:rPr>
          <w:rFonts w:ascii="Times New Roman" w:hAnsi="Times New Roman" w:cs="Times New Roman"/>
          <w:b/>
          <w:sz w:val="24"/>
          <w:szCs w:val="24"/>
        </w:rPr>
      </w:pPr>
      <w:r>
        <w:rPr>
          <w:rFonts w:ascii="Times New Roman" w:hAnsi="Times New Roman" w:cs="Times New Roman"/>
          <w:b/>
          <w:sz w:val="24"/>
          <w:szCs w:val="24"/>
        </w:rPr>
        <w:t>Model/ Gambar</w:t>
      </w:r>
    </w:p>
    <w:p>
      <w:pPr>
        <w:tabs>
          <w:tab w:val="left" w:pos="90"/>
        </w:tabs>
        <w:ind w:firstLine="810"/>
        <w:rPr>
          <w:rFonts w:ascii="Times New Roman" w:hAnsi="Times New Roman" w:cs="Times New Roman"/>
          <w:sz w:val="24"/>
          <w:szCs w:val="24"/>
        </w:rPr>
      </w:pPr>
      <w:r>
        <w:rPr>
          <w:rFonts w:ascii="Times New Roman" w:hAnsi="Times New Roman" w:cs="Times New Roman"/>
          <w:sz w:val="24"/>
          <w:szCs w:val="24"/>
        </w:rPr>
        <w:t>Berdasarkan rancangan uji hipotesis maka model/gambar rancangan hipotesis sebagai berikut :</w:t>
      </w:r>
    </w:p>
    <w:p>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pPr>
        <w:pStyle w:val="23"/>
        <w:tabs>
          <w:tab w:val="left" w:pos="90"/>
        </w:tabs>
        <w:ind w:firstLine="0"/>
        <w:jc w:val="center"/>
        <w:rPr>
          <w:rFonts w:ascii="Times New Roman" w:hAnsi="Times New Roman" w:cs="Times New Roman"/>
          <w:sz w:val="24"/>
          <w:szCs w:val="24"/>
        </w:rPr>
      </w:pPr>
      <w:r>
        <w:rPr>
          <w:rFonts w:ascii="Times New Roman" w:hAnsi="Times New Roman" w:cs="Times New Roman"/>
          <w:sz w:val="24"/>
          <w:szCs w:val="24"/>
        </w:rPr>
        <w:pict>
          <v:shape id="_x0000_s1111" o:spid="_x0000_s1111" o:spt="202" type="#_x0000_t202" style="position:absolute;left:0pt;margin-left:7.6pt;margin-top:22.25pt;height:42.25pt;width:169.6pt;z-index:251660288;mso-width-relative:margin;mso-height-relative:margin;" coordsize="21600,21600">
            <v:path/>
            <v:fill focussize="0,0"/>
            <v:stroke joinstyle="miter"/>
            <v:imagedata o:title=""/>
            <o:lock v:ext="edit"/>
            <v:textbox>
              <w:txbxContent>
                <w:p>
                  <w:pPr>
                    <w:spacing w:line="240" w:lineRule="auto"/>
                    <w:ind w:firstLine="0"/>
                    <w:jc w:val="center"/>
                    <w:rPr>
                      <w:szCs w:val="24"/>
                    </w:rPr>
                  </w:pPr>
                  <w:r>
                    <w:rPr>
                      <w:rFonts w:ascii="Times New Roman" w:hAnsi="Times New Roman" w:cs="Times New Roman"/>
                      <w:i/>
                      <w:sz w:val="24"/>
                      <w:szCs w:val="24"/>
                    </w:rPr>
                    <w:t xml:space="preserve">Invesment Opportunity Set </w:t>
                  </w:r>
                  <w:r>
                    <w:rPr>
                      <w:rFonts w:ascii="Times New Roman" w:hAnsi="Times New Roman" w:cs="Times New Roman"/>
                      <w:sz w:val="24"/>
                      <w:szCs w:val="24"/>
                    </w:rPr>
                    <w:t>yang terdiri dari MBVE (X1)</w:t>
                  </w:r>
                </w:p>
              </w:txbxContent>
            </v:textbox>
          </v:shape>
        </w:pict>
      </w:r>
      <w:r>
        <w:rPr>
          <w:rFonts w:ascii="Times New Roman" w:hAnsi="Times New Roman" w:cs="Times New Roman"/>
          <w:b/>
          <w:sz w:val="24"/>
          <w:szCs w:val="24"/>
        </w:rPr>
        <w:t>Gambar 3.1</w:t>
      </w:r>
      <w:r>
        <w:rPr>
          <w:rFonts w:ascii="Times New Roman" w:hAnsi="Times New Roman" w:cs="Times New Roman"/>
          <w:sz w:val="24"/>
          <w:szCs w:val="24"/>
        </w:rPr>
        <w:t xml:space="preserve"> Kerangka Konsep Rancangan Hipotesis</w:t>
      </w:r>
    </w:p>
    <w:p>
      <w:pPr>
        <w:tabs>
          <w:tab w:val="left" w:pos="90"/>
        </w:tabs>
        <w:ind w:left="4230" w:firstLine="90"/>
        <w:rPr>
          <w:rFonts w:ascii="Times New Roman" w:hAnsi="Times New Roman" w:cs="Times New Roman"/>
          <w:sz w:val="24"/>
          <w:szCs w:val="24"/>
        </w:rPr>
      </w:pPr>
      <w:r>
        <w:rPr>
          <w:rFonts w:ascii="Times New Roman" w:hAnsi="Times New Roman" w:cs="Times New Roman"/>
          <w:sz w:val="24"/>
          <w:szCs w:val="24"/>
        </w:rPr>
        <w:pict>
          <v:shape id="_x0000_s1117" o:spid="_x0000_s1117" o:spt="32" type="#_x0000_t32" style="position:absolute;left:0pt;margin-left:177.2pt;margin-top:23.75pt;height:54.4pt;width:105.8pt;z-index:25166643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16" o:spid="_x0000_s1116" o:spt="202" type="#_x0000_t202" style="position:absolute;left:0pt;margin-left:3.85pt;margin-top:43.5pt;height:50.9pt;width:169.6pt;z-index:251665408;mso-width-relative:margin;mso-height-relative:margin;" coordsize="21600,21600">
            <v:path/>
            <v:fill focussize="0,0"/>
            <v:stroke joinstyle="miter"/>
            <v:imagedata o:title=""/>
            <o:lock v:ext="edit"/>
            <v:textbox>
              <w:txbxContent>
                <w:p>
                  <w:pPr>
                    <w:spacing w:line="240" w:lineRule="auto"/>
                    <w:ind w:firstLine="0"/>
                    <w:jc w:val="center"/>
                    <w:rPr>
                      <w:szCs w:val="24"/>
                    </w:rPr>
                  </w:pPr>
                  <w:r>
                    <w:rPr>
                      <w:rFonts w:ascii="Times New Roman" w:hAnsi="Times New Roman" w:cs="Times New Roman"/>
                      <w:i/>
                      <w:sz w:val="24"/>
                      <w:szCs w:val="24"/>
                    </w:rPr>
                    <w:t>Invesment Opportunity Set</w:t>
                  </w:r>
                  <w:r>
                    <w:rPr>
                      <w:rFonts w:ascii="Times New Roman" w:hAnsi="Times New Roman" w:cs="Times New Roman"/>
                      <w:sz w:val="24"/>
                      <w:szCs w:val="24"/>
                    </w:rPr>
                    <w:t xml:space="preserve"> yang terdiri dari CAPBVA (X1)  (X2)</w:t>
                  </w:r>
                </w:p>
              </w:txbxContent>
            </v:textbox>
          </v:shape>
        </w:pict>
      </w:r>
      <w:r>
        <w:rPr>
          <w:rFonts w:ascii="Times New Roman" w:hAnsi="Times New Roman" w:cs="Times New Roman"/>
          <w:sz w:val="24"/>
          <w:szCs w:val="24"/>
          <w:lang w:eastAsia="zh-TW"/>
        </w:rPr>
        <w:pict>
          <v:shape id="_x0000_s1118" o:spid="_x0000_s1118" o:spt="202" type="#_x0000_t202" style="position:absolute;left:0pt;margin-left:283pt;margin-top:51.55pt;height:121.65pt;width:111pt;z-index:251667456;mso-width-relative:margin;mso-height-relative:margin;" coordsize="21600,21600">
            <v:path/>
            <v:fill focussize="0,0"/>
            <v:stroke joinstyle="miter"/>
            <v:imagedata o:title=""/>
            <o:lock v:ext="edit"/>
            <v:textbox>
              <w:txbxContent>
                <w:p>
                  <w:pPr>
                    <w:jc w:val="center"/>
                    <w:rPr>
                      <w:rFonts w:ascii="Times New Roman" w:hAnsi="Times New Roman" w:cs="Times New Roman"/>
                      <w:sz w:val="32"/>
                      <w:szCs w:val="32"/>
                    </w:rPr>
                  </w:pPr>
                  <w:r>
                    <w:rPr>
                      <w:rFonts w:ascii="Times New Roman" w:hAnsi="Times New Roman" w:cs="Times New Roman"/>
                      <w:sz w:val="32"/>
                      <w:szCs w:val="32"/>
                    </w:rPr>
                    <w:t>Nilai Perusahaan (Y)</w:t>
                  </w:r>
                </w:p>
              </w:txbxContent>
            </v:textbox>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H₁</w:t>
      </w:r>
    </w:p>
    <w:p>
      <w:pPr>
        <w:tabs>
          <w:tab w:val="left" w:pos="90"/>
        </w:tabs>
        <w:rPr>
          <w:rFonts w:ascii="Times New Roman" w:hAnsi="Times New Roman" w:cs="Times New Roman"/>
          <w:b/>
          <w:sz w:val="24"/>
          <w:szCs w:val="24"/>
        </w:rPr>
      </w:pPr>
      <w:r>
        <w:rPr>
          <w:rFonts w:ascii="Times New Roman" w:hAnsi="Times New Roman" w:cs="Times New Roman"/>
          <w:sz w:val="24"/>
          <w:szCs w:val="24"/>
        </w:rPr>
        <w:pict>
          <v:shape id="_x0000_s1112" o:spid="_x0000_s1112" o:spt="32" type="#_x0000_t32" style="position:absolute;left:0pt;margin-left:173.45pt;margin-top:18.45pt;height:20.25pt;width:109.55pt;z-index:251661312;mso-width-relative:page;mso-height-relative:page;" o:connectortype="straight" filled="f" coordsize="21600,21600">
            <v:path arrowok="t"/>
            <v:fill on="f" focussize="0,0"/>
            <v:stroke endarrow="block"/>
            <v:imagedata o:title=""/>
            <o:lock v:ext="edit"/>
          </v:shape>
        </w:pict>
      </w:r>
    </w:p>
    <w:p>
      <w:pPr>
        <w:rPr>
          <w:rFonts w:ascii="Times New Roman" w:hAnsi="Times New Roman" w:cs="Times New Roman"/>
          <w:sz w:val="24"/>
          <w:szCs w:val="24"/>
        </w:rPr>
      </w:pPr>
      <w:r>
        <w:rPr>
          <w:rFonts w:ascii="Times New Roman" w:hAnsi="Times New Roman" w:cs="Times New Roman"/>
          <w:sz w:val="24"/>
          <w:szCs w:val="24"/>
        </w:rPr>
        <w:pict>
          <v:shape id="_x0000_s1114" o:spid="_x0000_s1114" o:spt="202" type="#_x0000_t202" style="position:absolute;left:0pt;margin-left:12.9pt;margin-top:20.25pt;height:60.9pt;width:160.55pt;z-index:251663360;mso-width-relative:margin;mso-height-relative:margin;" coordsize="21600,21600">
            <v:path/>
            <v:fill focussize="0,0"/>
            <v:stroke joinstyle="miter"/>
            <v:imagedata o:title=""/>
            <o:lock v:ext="edit"/>
            <v:textbox>
              <w:txbxContent>
                <w:p>
                  <w:pPr>
                    <w:spacing w:line="240" w:lineRule="auto"/>
                    <w:ind w:firstLine="0"/>
                    <w:jc w:val="center"/>
                    <w:rPr>
                      <w:rFonts w:ascii="Times New Roman" w:hAnsi="Times New Roman" w:cs="Times New Roman"/>
                      <w:sz w:val="24"/>
                      <w:szCs w:val="24"/>
                    </w:rPr>
                  </w:pPr>
                  <w:r>
                    <w:rPr>
                      <w:rFonts w:ascii="Times New Roman" w:hAnsi="Times New Roman" w:cs="Times New Roman"/>
                      <w:i/>
                      <w:sz w:val="20"/>
                      <w:szCs w:val="20"/>
                    </w:rPr>
                    <w:t>CorporateSocial Responsibility</w:t>
                  </w:r>
                  <w:r>
                    <w:rPr>
                      <w:rFonts w:ascii="Times New Roman" w:hAnsi="Times New Roman" w:cs="Times New Roman"/>
                      <w:sz w:val="20"/>
                      <w:szCs w:val="20"/>
                    </w:rPr>
                    <w:t xml:space="preserve"> yang terdiri dari </w:t>
                  </w:r>
                  <w:r>
                    <w:rPr>
                      <w:rFonts w:ascii="Times New Roman" w:hAnsi="Times New Roman" w:cs="Times New Roman"/>
                      <w:i/>
                      <w:sz w:val="20"/>
                      <w:szCs w:val="20"/>
                    </w:rPr>
                    <w:t>Corporate Social Responsibility Disclosure</w:t>
                  </w:r>
                  <w:r>
                    <w:rPr>
                      <w:rFonts w:ascii="Times New Roman" w:hAnsi="Times New Roman" w:cs="Times New Roman"/>
                      <w:i/>
                      <w:sz w:val="24"/>
                      <w:szCs w:val="24"/>
                    </w:rPr>
                    <w:t xml:space="preserve"> Index </w:t>
                  </w:r>
                  <w:r>
                    <w:rPr>
                      <w:rFonts w:ascii="Times New Roman" w:hAnsi="Times New Roman" w:cs="Times New Roman"/>
                      <w:sz w:val="24"/>
                      <w:szCs w:val="24"/>
                    </w:rPr>
                    <w:t>(X3)</w:t>
                  </w:r>
                </w:p>
              </w:txbxContent>
            </v:textbox>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H₂</w:t>
      </w:r>
    </w:p>
    <w:p>
      <w:pPr>
        <w:rPr>
          <w:rFonts w:ascii="Times New Roman" w:hAnsi="Times New Roman" w:cs="Times New Roman"/>
          <w:sz w:val="24"/>
          <w:szCs w:val="24"/>
        </w:rPr>
      </w:pPr>
      <w:r>
        <w:rPr>
          <w:rFonts w:ascii="Times New Roman" w:hAnsi="Times New Roman" w:cs="Times New Roman"/>
          <w:sz w:val="24"/>
          <w:szCs w:val="24"/>
        </w:rPr>
        <w:pict>
          <v:shape id="_x0000_s1113" o:spid="_x0000_s1113" o:spt="32" type="#_x0000_t32" style="position:absolute;left:0pt;flip:y;margin-left:173.45pt;margin-top:2.5pt;height:32.15pt;width:109.55pt;z-index:25166233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119" o:spid="_x0000_s1119" o:spt="32" type="#_x0000_t32" style="position:absolute;left:0pt;flip:y;margin-left:168.15pt;margin-top:21pt;height:63.2pt;width:114.85pt;z-index:25166848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H₃</w:t>
      </w:r>
    </w:p>
    <w:p>
      <w:pPr>
        <w:ind w:left="3600" w:firstLine="720"/>
        <w:rPr>
          <w:rFonts w:ascii="Times New Roman" w:hAnsi="Times New Roman" w:cs="Times New Roman"/>
          <w:sz w:val="24"/>
          <w:szCs w:val="24"/>
        </w:rPr>
      </w:pPr>
      <w:r>
        <w:rPr>
          <w:rFonts w:ascii="Times New Roman" w:hAnsi="Times New Roman" w:cs="Times New Roman"/>
          <w:sz w:val="24"/>
          <w:szCs w:val="24"/>
        </w:rPr>
        <w:pict>
          <v:shape id="_x0000_s1115" o:spid="_x0000_s1115" o:spt="202" type="#_x0000_t202" style="position:absolute;left:0pt;margin-left:7.6pt;margin-top:3pt;height:45pt;width:160.55pt;z-index:251664384;mso-width-relative:margin;mso-height-relative:margin;" coordsize="21600,21600">
            <v:path/>
            <v:fill focussize="0,0"/>
            <v:stroke joinstyle="miter"/>
            <v:imagedata o:title=""/>
            <o:lock v:ext="edit"/>
            <v:textbox>
              <w:txbxContent>
                <w:p>
                  <w:pPr>
                    <w:spacing w:line="240" w:lineRule="auto"/>
                    <w:jc w:val="center"/>
                    <w:rPr>
                      <w:rFonts w:ascii="Times New Roman" w:hAnsi="Times New Roman" w:cs="Times New Roman"/>
                      <w:sz w:val="20"/>
                      <w:szCs w:val="20"/>
                    </w:rPr>
                  </w:pPr>
                  <w:r>
                    <w:rPr>
                      <w:rFonts w:ascii="Times New Roman" w:hAnsi="Times New Roman" w:cs="Times New Roman"/>
                      <w:sz w:val="20"/>
                      <w:szCs w:val="20"/>
                    </w:rPr>
                    <w:t>Risiko Bisnis yang terdiri dari BRISK</w:t>
                  </w:r>
                </w:p>
                <w:p>
                  <w:pPr>
                    <w:spacing w:line="240" w:lineRule="auto"/>
                    <w:jc w:val="center"/>
                    <w:rPr>
                      <w:rFonts w:ascii="Times New Roman" w:hAnsi="Times New Roman" w:cs="Times New Roman"/>
                      <w:sz w:val="20"/>
                      <w:szCs w:val="20"/>
                    </w:rPr>
                  </w:pPr>
                  <w:r>
                    <w:rPr>
                      <w:rFonts w:ascii="Times New Roman" w:hAnsi="Times New Roman" w:cs="Times New Roman"/>
                      <w:sz w:val="20"/>
                      <w:szCs w:val="20"/>
                    </w:rPr>
                    <w:t>(X4)</w:t>
                  </w:r>
                </w:p>
                <w:p>
                  <w:pPr>
                    <w:spacing w:line="240" w:lineRule="auto"/>
                    <w:rPr>
                      <w:rFonts w:ascii="Times New Roman" w:hAnsi="Times New Roman" w:cs="Times New Roman"/>
                      <w:sz w:val="24"/>
                      <w:szCs w:val="24"/>
                    </w:rPr>
                  </w:pPr>
                </w:p>
              </w:txbxContent>
            </v:textbox>
          </v:shape>
        </w:pict>
      </w:r>
      <w:r>
        <w:rPr>
          <w:rFonts w:ascii="Times New Roman" w:hAnsi="Times New Roman" w:cs="Times New Roman"/>
          <w:sz w:val="24"/>
          <w:szCs w:val="24"/>
        </w:rPr>
        <w:t>H₄</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ind w:firstLine="0"/>
        <w:rPr>
          <w:rFonts w:ascii="Times New Roman" w:hAnsi="Times New Roman" w:cs="Times New Roman"/>
          <w:sz w:val="24"/>
          <w:szCs w:val="24"/>
        </w:rPr>
      </w:pPr>
    </w:p>
    <w:p>
      <w:pPr>
        <w:ind w:firstLine="0"/>
        <w:rPr>
          <w:rFonts w:ascii="Times New Roman" w:hAnsi="Times New Roman" w:cs="Times New Roman"/>
          <w:sz w:val="24"/>
          <w:szCs w:val="24"/>
        </w:rPr>
      </w:pPr>
      <w:r>
        <w:rPr>
          <w:rFonts w:ascii="Times New Roman" w:hAnsi="Times New Roman" w:cs="Times New Roman"/>
          <w:sz w:val="24"/>
          <w:szCs w:val="24"/>
        </w:rPr>
        <w:t xml:space="preserve">Persamaan regresi berganda : Y = α + </w:t>
      </w:r>
      <w:r>
        <w:rPr>
          <w:rFonts w:ascii="Cambria Math" w:hAnsi="Times New Roman" w:cs="Times New Roman"/>
          <w:sz w:val="24"/>
          <w:szCs w:val="24"/>
        </w:rPr>
        <w:t>𝛽</w:t>
      </w:r>
      <w:r>
        <w:rPr>
          <w:rFonts w:ascii="Times New Roman" w:hAnsi="Times New Roman" w:cs="Times New Roman"/>
          <w:sz w:val="24"/>
          <w:szCs w:val="24"/>
        </w:rPr>
        <w:t>1</w:t>
      </w:r>
      <w:r>
        <w:rPr>
          <w:rFonts w:ascii="Cambria Math" w:hAnsi="Times New Roman" w:cs="Times New Roman"/>
          <w:sz w:val="24"/>
          <w:szCs w:val="24"/>
        </w:rPr>
        <w:t>𝑋</w:t>
      </w:r>
      <w:r>
        <w:rPr>
          <w:rFonts w:ascii="Times New Roman" w:hAnsi="Times New Roman" w:cs="Times New Roman"/>
          <w:sz w:val="24"/>
          <w:szCs w:val="24"/>
        </w:rPr>
        <w:t xml:space="preserve">1 + </w:t>
      </w:r>
      <w:r>
        <w:rPr>
          <w:rFonts w:ascii="Cambria Math" w:hAnsi="Times New Roman" w:cs="Times New Roman"/>
          <w:sz w:val="24"/>
          <w:szCs w:val="24"/>
        </w:rPr>
        <w:t>𝛽</w:t>
      </w:r>
      <w:r>
        <w:rPr>
          <w:rFonts w:ascii="Times New Roman" w:hAnsi="Times New Roman" w:cs="Times New Roman"/>
          <w:sz w:val="24"/>
          <w:szCs w:val="24"/>
        </w:rPr>
        <w:t>2</w:t>
      </w:r>
      <w:r>
        <w:rPr>
          <w:rFonts w:ascii="Cambria Math" w:hAnsi="Times New Roman" w:cs="Times New Roman"/>
          <w:sz w:val="24"/>
          <w:szCs w:val="24"/>
        </w:rPr>
        <w:t>𝑋</w:t>
      </w:r>
      <w:r>
        <w:rPr>
          <w:rFonts w:ascii="Times New Roman" w:hAnsi="Times New Roman" w:cs="Times New Roman"/>
          <w:sz w:val="24"/>
          <w:szCs w:val="24"/>
        </w:rPr>
        <w:t xml:space="preserve">2 + </w:t>
      </w:r>
      <w:r>
        <w:rPr>
          <w:rFonts w:ascii="Cambria Math" w:hAnsi="Times New Roman" w:cs="Times New Roman"/>
          <w:sz w:val="24"/>
          <w:szCs w:val="24"/>
        </w:rPr>
        <w:t>𝛽</w:t>
      </w:r>
      <w:r>
        <w:rPr>
          <w:rFonts w:ascii="Times New Roman" w:hAnsi="Times New Roman" w:cs="Times New Roman"/>
          <w:sz w:val="24"/>
          <w:szCs w:val="24"/>
        </w:rPr>
        <w:t>3</w:t>
      </w:r>
      <w:r>
        <w:rPr>
          <w:rFonts w:ascii="Cambria Math" w:hAnsi="Times New Roman" w:cs="Times New Roman"/>
          <w:sz w:val="24"/>
          <w:szCs w:val="24"/>
        </w:rPr>
        <w:t>𝑋</w:t>
      </w:r>
      <w:r>
        <w:rPr>
          <w:rFonts w:ascii="Times New Roman" w:hAnsi="Times New Roman" w:cs="Times New Roman"/>
          <w:sz w:val="24"/>
          <w:szCs w:val="24"/>
        </w:rPr>
        <w:t xml:space="preserve">3 + </w:t>
      </w:r>
      <w:r>
        <w:rPr>
          <w:rFonts w:ascii="Cambria Math" w:hAnsi="Times New Roman" w:cs="Times New Roman"/>
          <w:sz w:val="24"/>
          <w:szCs w:val="24"/>
        </w:rPr>
        <w:t>𝛽</w:t>
      </w:r>
      <w:r>
        <w:rPr>
          <w:rFonts w:ascii="Times New Roman" w:hAnsi="Times New Roman" w:cs="Times New Roman"/>
          <w:sz w:val="24"/>
          <w:szCs w:val="24"/>
        </w:rPr>
        <w:t>4</w:t>
      </w:r>
      <w:r>
        <w:rPr>
          <w:rFonts w:ascii="Cambria Math" w:hAnsi="Times New Roman" w:cs="Times New Roman"/>
          <w:sz w:val="24"/>
          <w:szCs w:val="24"/>
        </w:rPr>
        <w:t>𝑋</w:t>
      </w:r>
      <w:r>
        <w:rPr>
          <w:rFonts w:ascii="Times New Roman" w:hAnsi="Times New Roman" w:cs="Times New Roman"/>
          <w:sz w:val="24"/>
          <w:szCs w:val="24"/>
        </w:rPr>
        <w:t>4 + ɛ</w:t>
      </w:r>
    </w:p>
    <w:p>
      <w:pPr>
        <w:rPr>
          <w:rFonts w:ascii="Times New Roman" w:hAnsi="Times New Roman" w:cs="Times New Roman"/>
          <w:sz w:val="24"/>
          <w:szCs w:val="24"/>
        </w:rPr>
      </w:pPr>
      <w:r>
        <w:rPr>
          <w:rFonts w:ascii="Times New Roman" w:hAnsi="Times New Roman" w:cs="Times New Roman"/>
          <w:sz w:val="24"/>
          <w:szCs w:val="24"/>
        </w:rPr>
        <w:t>Keterangan:</w:t>
      </w:r>
    </w:p>
    <w:p>
      <w:pPr>
        <w:rPr>
          <w:rFonts w:ascii="Times New Roman" w:hAnsi="Times New Roman" w:cs="Times New Roman"/>
          <w:sz w:val="24"/>
          <w:szCs w:val="24"/>
        </w:rPr>
      </w:pPr>
      <w:r>
        <w:rPr>
          <w:rFonts w:ascii="Times New Roman" w:hAnsi="Times New Roman" w:cs="Times New Roman"/>
          <w:sz w:val="24"/>
          <w:szCs w:val="24"/>
        </w:rPr>
        <w:t xml:space="preserve">Y : Nilai Perusahaan </w:t>
      </w:r>
    </w:p>
    <w:p>
      <w:pPr>
        <w:rPr>
          <w:rFonts w:ascii="Times New Roman" w:hAnsi="Times New Roman" w:cs="Times New Roman"/>
          <w:sz w:val="24"/>
          <w:szCs w:val="24"/>
        </w:rPr>
      </w:pPr>
      <w:r>
        <w:rPr>
          <w:rFonts w:ascii="Times New Roman" w:hAnsi="Times New Roman" w:cs="Times New Roman"/>
          <w:sz w:val="24"/>
          <w:szCs w:val="24"/>
        </w:rPr>
        <w:t>α  : Konstanta</w:t>
      </w:r>
    </w:p>
    <w:p>
      <w:pPr>
        <w:rPr>
          <w:rFonts w:ascii="Times New Roman" w:hAnsi="Times New Roman" w:cs="Times New Roman"/>
          <w:sz w:val="24"/>
          <w:szCs w:val="24"/>
        </w:rPr>
      </w:pPr>
      <w:r>
        <w:rPr>
          <w:rFonts w:ascii="Times New Roman" w:hAnsi="Times New Roman" w:cs="Times New Roman"/>
          <w:sz w:val="24"/>
          <w:szCs w:val="24"/>
        </w:rPr>
        <w:t>β  :  Koefisien regresi variabel independen</w:t>
      </w:r>
    </w:p>
    <w:p>
      <w:pPr>
        <w:rPr>
          <w:rFonts w:ascii="Times New Roman" w:hAnsi="Times New Roman" w:cs="Times New Roman"/>
          <w:sz w:val="24"/>
          <w:szCs w:val="24"/>
        </w:rPr>
      </w:pPr>
      <w:r>
        <w:rPr>
          <w:rFonts w:ascii="Times New Roman" w:hAnsi="Times New Roman" w:cs="Times New Roman"/>
          <w:sz w:val="24"/>
          <w:szCs w:val="24"/>
        </w:rPr>
        <w:t xml:space="preserve">X1: </w:t>
      </w:r>
      <w:r>
        <w:rPr>
          <w:rFonts w:ascii="Times New Roman" w:hAnsi="Times New Roman" w:cs="Times New Roman"/>
          <w:i/>
          <w:sz w:val="24"/>
          <w:szCs w:val="24"/>
        </w:rPr>
        <w:t>Invesment Opportunity Set</w:t>
      </w:r>
      <w:r>
        <w:rPr>
          <w:rFonts w:ascii="Times New Roman" w:hAnsi="Times New Roman" w:cs="Times New Roman"/>
          <w:sz w:val="24"/>
          <w:szCs w:val="24"/>
        </w:rPr>
        <w:t xml:space="preserve"> terdiri dari MBVE (X1)</w:t>
      </w:r>
    </w:p>
    <w:p>
      <w:pPr>
        <w:rPr>
          <w:rFonts w:ascii="Times New Roman" w:hAnsi="Times New Roman" w:cs="Times New Roman"/>
          <w:sz w:val="24"/>
          <w:szCs w:val="24"/>
        </w:rPr>
      </w:pPr>
      <w:r>
        <w:rPr>
          <w:rFonts w:ascii="Times New Roman" w:hAnsi="Times New Roman" w:cs="Times New Roman"/>
          <w:sz w:val="24"/>
          <w:szCs w:val="24"/>
        </w:rPr>
        <w:t xml:space="preserve">X2 :  </w:t>
      </w:r>
      <w:r>
        <w:rPr>
          <w:rFonts w:ascii="Times New Roman" w:hAnsi="Times New Roman" w:cs="Times New Roman"/>
          <w:i/>
          <w:sz w:val="24"/>
          <w:szCs w:val="24"/>
        </w:rPr>
        <w:t xml:space="preserve">Invesment Opportunity Set </w:t>
      </w:r>
      <w:r>
        <w:rPr>
          <w:rFonts w:ascii="Times New Roman" w:hAnsi="Times New Roman" w:cs="Times New Roman"/>
          <w:sz w:val="24"/>
          <w:szCs w:val="24"/>
        </w:rPr>
        <w:t>terdiri dari CAPBVA (X2)</w:t>
      </w:r>
    </w:p>
    <w:p>
      <w:pPr>
        <w:rPr>
          <w:rFonts w:ascii="Times New Roman" w:hAnsi="Times New Roman" w:cs="Times New Roman"/>
          <w:sz w:val="24"/>
          <w:szCs w:val="24"/>
        </w:rPr>
      </w:pPr>
      <w:r>
        <w:rPr>
          <w:rFonts w:ascii="Times New Roman" w:hAnsi="Times New Roman" w:cs="Times New Roman"/>
          <w:sz w:val="24"/>
          <w:szCs w:val="24"/>
        </w:rPr>
        <w:t xml:space="preserve">X3 : </w:t>
      </w:r>
      <w:r>
        <w:rPr>
          <w:rFonts w:ascii="Times New Roman" w:hAnsi="Times New Roman" w:cs="Times New Roman"/>
          <w:i/>
          <w:sz w:val="24"/>
          <w:szCs w:val="24"/>
        </w:rPr>
        <w:t xml:space="preserve">Corporate Social Responsibility </w:t>
      </w:r>
      <w:r>
        <w:rPr>
          <w:rFonts w:ascii="Times New Roman" w:hAnsi="Times New Roman" w:cs="Times New Roman"/>
          <w:sz w:val="24"/>
          <w:szCs w:val="24"/>
        </w:rPr>
        <w:t>(X3)</w:t>
      </w:r>
    </w:p>
    <w:p>
      <w:pPr>
        <w:rPr>
          <w:rFonts w:ascii="Times New Roman" w:hAnsi="Times New Roman" w:cs="Times New Roman"/>
          <w:sz w:val="24"/>
          <w:szCs w:val="24"/>
        </w:rPr>
      </w:pPr>
      <w:r>
        <w:rPr>
          <w:rFonts w:ascii="Times New Roman" w:hAnsi="Times New Roman" w:cs="Times New Roman"/>
          <w:sz w:val="24"/>
          <w:szCs w:val="24"/>
        </w:rPr>
        <w:t>X4 : Risiko Bisnis (X4)</w:t>
      </w:r>
    </w:p>
    <w:p>
      <w:pPr>
        <w:rPr>
          <w:rFonts w:ascii="Times New Roman" w:hAnsi="Times New Roman" w:cs="Times New Roman"/>
          <w:sz w:val="24"/>
          <w:szCs w:val="24"/>
        </w:rPr>
      </w:pPr>
      <w:r>
        <w:rPr>
          <w:rFonts w:ascii="Times New Roman" w:hAnsi="Times New Roman" w:cs="Times New Roman"/>
          <w:sz w:val="24"/>
          <w:szCs w:val="24"/>
        </w:rPr>
        <w:t>ɛ    : Epsilon</w:t>
      </w:r>
    </w:p>
    <w:p>
      <w:pPr>
        <w:ind w:firstLine="0"/>
        <w:rPr>
          <w:rFonts w:ascii="Times New Roman" w:hAnsi="Times New Roman" w:cs="Times New Roman"/>
          <w:sz w:val="24"/>
          <w:szCs w:val="24"/>
        </w:rPr>
      </w:pPr>
      <w:r>
        <w:rPr>
          <w:rFonts w:ascii="Times New Roman" w:hAnsi="Times New Roman" w:cs="Times New Roman"/>
          <w:sz w:val="24"/>
          <w:szCs w:val="24"/>
        </w:rPr>
        <w:br w:type="page"/>
      </w:r>
    </w:p>
    <w:p>
      <w:pPr>
        <w:tabs>
          <w:tab w:val="left" w:pos="3468"/>
          <w:tab w:val="center" w:pos="3966"/>
        </w:tabs>
        <w:ind w:firstLine="0"/>
        <w:jc w:val="left"/>
        <w:rPr>
          <w:rFonts w:ascii="Times New Roman" w:hAnsi="Times New Roman" w:cs="Times New Roman"/>
          <w:b/>
          <w:sz w:val="24"/>
          <w:szCs w:val="24"/>
        </w:rPr>
        <w:sectPr>
          <w:pgSz w:w="11907" w:h="16840"/>
          <w:pgMar w:top="2250" w:right="1699" w:bottom="1699" w:left="2275" w:header="1728" w:footer="1728" w:gutter="0"/>
          <w:pgNumType w:start="47"/>
          <w:cols w:space="720" w:num="1"/>
          <w:titlePg/>
          <w:docGrid w:linePitch="360" w:charSpace="0"/>
        </w:sectPr>
      </w:pPr>
      <w:r>
        <w:rPr>
          <w:rFonts w:ascii="Times New Roman" w:hAnsi="Times New Roman" w:cs="Times New Roman"/>
          <w:b/>
          <w:sz w:val="24"/>
          <w:szCs w:val="24"/>
        </w:rPr>
        <w:tab/>
      </w:r>
    </w:p>
    <w:p>
      <w:pPr>
        <w:tabs>
          <w:tab w:val="left" w:pos="3468"/>
          <w:tab w:val="center" w:pos="3966"/>
        </w:tabs>
        <w:ind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BAB IV</w:t>
      </w:r>
    </w:p>
    <w:p>
      <w:pPr>
        <w:ind w:firstLine="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pPr>
        <w:ind w:firstLine="0"/>
        <w:rPr>
          <w:rFonts w:ascii="Times New Roman" w:hAnsi="Times New Roman" w:cs="Times New Roman"/>
          <w:b/>
          <w:sz w:val="24"/>
          <w:szCs w:val="24"/>
        </w:rPr>
      </w:pPr>
      <w:r>
        <w:rPr>
          <w:rFonts w:ascii="Times New Roman" w:hAnsi="Times New Roman" w:cs="Times New Roman"/>
          <w:b/>
          <w:sz w:val="24"/>
          <w:szCs w:val="24"/>
        </w:rPr>
        <w:t>4.1 DESKRIPSI OBJEK PENELITIAN</w:t>
      </w:r>
    </w:p>
    <w:p>
      <w:pPr>
        <w:pStyle w:val="23"/>
        <w:numPr>
          <w:ilvl w:val="2"/>
          <w:numId w:val="24"/>
        </w:numPr>
        <w:rPr>
          <w:rFonts w:ascii="Times New Roman" w:hAnsi="Times New Roman" w:cs="Times New Roman"/>
          <w:sz w:val="24"/>
          <w:szCs w:val="24"/>
        </w:rPr>
      </w:pPr>
      <w:r>
        <w:rPr>
          <w:rFonts w:ascii="Times New Roman" w:hAnsi="Times New Roman" w:cs="Times New Roman"/>
          <w:sz w:val="24"/>
          <w:szCs w:val="24"/>
        </w:rPr>
        <w:t>Perusahaan Sub Sektor Perbankan</w:t>
      </w:r>
    </w:p>
    <w:p>
      <w:pPr>
        <w:pStyle w:val="23"/>
        <w:numPr>
          <w:ilvl w:val="0"/>
          <w:numId w:val="25"/>
        </w:numPr>
        <w:rPr>
          <w:rFonts w:ascii="Times New Roman" w:hAnsi="Times New Roman" w:cs="Times New Roman"/>
          <w:b/>
          <w:sz w:val="24"/>
          <w:szCs w:val="24"/>
        </w:rPr>
      </w:pPr>
      <w:r>
        <w:rPr>
          <w:rFonts w:ascii="Times New Roman" w:hAnsi="Times New Roman" w:cs="Times New Roman"/>
          <w:b/>
          <w:sz w:val="24"/>
          <w:szCs w:val="24"/>
        </w:rPr>
        <w:t>PT. Bank Rakyat Indonesia Agroniaga, Tbk</w:t>
      </w:r>
    </w:p>
    <w:p>
      <w:pPr>
        <w:ind w:firstLine="720"/>
        <w:rPr>
          <w:rFonts w:ascii="Times New Roman" w:hAnsi="Times New Roman" w:cs="Times New Roman"/>
          <w:sz w:val="24"/>
          <w:szCs w:val="24"/>
        </w:rPr>
      </w:pPr>
      <w:r>
        <w:rPr>
          <w:rFonts w:ascii="Times New Roman" w:hAnsi="Times New Roman" w:cs="Times New Roman"/>
          <w:sz w:val="24"/>
          <w:szCs w:val="24"/>
        </w:rPr>
        <w:t xml:space="preserve">Bank Rakyat Indonesia Agroniaga, Tbk didirikan oleh Dana Pensiun Perkebunan (Dapenbun) pada tanggal 27 september 1989. Bank AGRO mempunyai peranan penting dan strategis dalam perkembangan sektor agribisnis Indonesia. Sebagai bank yang berfokus pada pembiayaan agrobisnis sejak berdiri hingga saat ini, portofolio kredit Bank AGRO sebagian besar (antara 50% - 60%) disalurkan disektor agribisnis, baik </w:t>
      </w:r>
      <w:r>
        <w:rPr>
          <w:rFonts w:ascii="Times New Roman" w:hAnsi="Times New Roman" w:cs="Times New Roman"/>
          <w:i/>
          <w:sz w:val="24"/>
          <w:szCs w:val="24"/>
        </w:rPr>
        <w:t xml:space="preserve">on farm </w:t>
      </w:r>
      <w:r>
        <w:rPr>
          <w:rFonts w:ascii="Times New Roman" w:hAnsi="Times New Roman" w:cs="Times New Roman"/>
          <w:sz w:val="24"/>
          <w:szCs w:val="24"/>
        </w:rPr>
        <w:t xml:space="preserve">maupun </w:t>
      </w:r>
      <w:r>
        <w:rPr>
          <w:rFonts w:ascii="Times New Roman" w:hAnsi="Times New Roman" w:cs="Times New Roman"/>
          <w:i/>
          <w:sz w:val="24"/>
          <w:szCs w:val="24"/>
        </w:rPr>
        <w:t xml:space="preserve">on farm. </w:t>
      </w:r>
      <w:r>
        <w:rPr>
          <w:rFonts w:ascii="Times New Roman" w:hAnsi="Times New Roman" w:cs="Times New Roman"/>
          <w:sz w:val="24"/>
          <w:szCs w:val="24"/>
        </w:rPr>
        <w:t>Adapun Visi dalam perusahaan ini adalah menjadi bank dengan layanan terbaik dan fokus di sektor Agribisnis. Sedangkan misi pada Bank Rakyat Indonesia Agroniaga ini adalah :</w:t>
      </w:r>
    </w:p>
    <w:p>
      <w:pPr>
        <w:pStyle w:val="23"/>
        <w:numPr>
          <w:ilvl w:val="0"/>
          <w:numId w:val="26"/>
        </w:numPr>
        <w:rPr>
          <w:rFonts w:ascii="Times New Roman" w:hAnsi="Times New Roman" w:cs="Times New Roman"/>
          <w:sz w:val="24"/>
          <w:szCs w:val="24"/>
        </w:rPr>
      </w:pPr>
      <w:r>
        <w:rPr>
          <w:rFonts w:ascii="Times New Roman" w:hAnsi="Times New Roman" w:cs="Times New Roman"/>
          <w:sz w:val="24"/>
          <w:szCs w:val="24"/>
        </w:rPr>
        <w:t>melakukan kegiatan perbankan yang terbaik pada segmen Usaha kecil dan Menengah (UKM) terutana sektor agrobisnis untuk menunjang peningkatan ekonomi masyrakat dengan tetap memperhatikan kelestarian lingkungan.</w:t>
      </w:r>
    </w:p>
    <w:p>
      <w:pPr>
        <w:pStyle w:val="23"/>
        <w:numPr>
          <w:ilvl w:val="0"/>
          <w:numId w:val="26"/>
        </w:numPr>
        <w:rPr>
          <w:rFonts w:ascii="Times New Roman" w:hAnsi="Times New Roman" w:cs="Times New Roman"/>
          <w:sz w:val="24"/>
          <w:szCs w:val="24"/>
        </w:rPr>
      </w:pPr>
      <w:r>
        <w:rPr>
          <w:rFonts w:ascii="Times New Roman" w:hAnsi="Times New Roman" w:cs="Times New Roman"/>
          <w:sz w:val="24"/>
          <w:szCs w:val="24"/>
        </w:rPr>
        <w:t xml:space="preserve">Memenuhi kebutuhan layanan perbankan yang berkualitas didukung oleh pengguna teknologi informasi yang handal dan sumber daya manusia yang professional serta berintegritas tinggi dalam melakukan Tata Kelola Perusahaan yang baik </w:t>
      </w:r>
      <w:r>
        <w:rPr>
          <w:rFonts w:ascii="Times New Roman" w:hAnsi="Times New Roman" w:cs="Times New Roman"/>
          <w:i/>
          <w:sz w:val="24"/>
          <w:szCs w:val="24"/>
        </w:rPr>
        <w:t>(Good Corporate Governance)</w:t>
      </w:r>
    </w:p>
    <w:p>
      <w:pPr>
        <w:pStyle w:val="23"/>
        <w:numPr>
          <w:ilvl w:val="0"/>
          <w:numId w:val="26"/>
        </w:numPr>
        <w:rPr>
          <w:rFonts w:ascii="Times New Roman" w:hAnsi="Times New Roman" w:cs="Times New Roman"/>
          <w:sz w:val="24"/>
          <w:szCs w:val="24"/>
        </w:rPr>
      </w:pPr>
      <w:r>
        <w:rPr>
          <w:rFonts w:ascii="Times New Roman" w:hAnsi="Times New Roman" w:cs="Times New Roman"/>
          <w:sz w:val="24"/>
          <w:szCs w:val="24"/>
        </w:rPr>
        <w:t xml:space="preserve">memberikan manfaat yang optimal bagi para </w:t>
      </w:r>
      <w:r>
        <w:rPr>
          <w:rFonts w:ascii="Times New Roman" w:hAnsi="Times New Roman" w:cs="Times New Roman"/>
          <w:i/>
          <w:sz w:val="24"/>
          <w:szCs w:val="24"/>
        </w:rPr>
        <w:t>stakehol</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Angris Tbk</w:t>
      </w:r>
    </w:p>
    <w:p>
      <w:pPr>
        <w:ind w:firstLine="720"/>
        <w:rPr>
          <w:rFonts w:ascii="Times New Roman" w:hAnsi="Times New Roman" w:cs="Times New Roman"/>
          <w:sz w:val="24"/>
          <w:szCs w:val="24"/>
        </w:rPr>
      </w:pPr>
      <w:r>
        <w:rPr>
          <w:rFonts w:ascii="Times New Roman" w:hAnsi="Times New Roman" w:cs="Times New Roman"/>
          <w:sz w:val="24"/>
          <w:szCs w:val="24"/>
        </w:rPr>
        <w:t xml:space="preserve">Bank Agris Tbk bergerak di bidang usaha keuangan dan semua jenis pembiayaan lainnya sesuai dengan Undang-undang yang berlaku di Indonesia. Perusahaan induk langsung Bank adalah PT. Dian Intan Perkasa yang merupakan p emegang saham mayoritas dan pemegang saham utama Bank adalah Benjamin Jiaravanon. Adapun Visi dari perusahaan ini adalah tumbuh bersama untuk menyejahterakan masyarakat melalui layanan perbankan yang terpercaya. Sedangkan misi dalam </w:t>
      </w:r>
      <w:r>
        <w:rPr>
          <w:rFonts w:ascii="Times New Roman" w:hAnsi="Times New Roman" w:eastAsia="Times New Roman" w:cs="Times New Roman"/>
          <w:color w:val="000000"/>
          <w:sz w:val="24"/>
          <w:szCs w:val="24"/>
        </w:rPr>
        <w:t>Bank Angris</w:t>
      </w:r>
      <w:r>
        <w:rPr>
          <w:rFonts w:ascii="Times New Roman" w:hAnsi="Times New Roman" w:cs="Times New Roman"/>
          <w:sz w:val="24"/>
          <w:szCs w:val="24"/>
        </w:rPr>
        <w:t xml:space="preserve"> ini adalah :</w:t>
      </w:r>
    </w:p>
    <w:p>
      <w:pPr>
        <w:pStyle w:val="23"/>
        <w:numPr>
          <w:ilvl w:val="0"/>
          <w:numId w:val="27"/>
        </w:numPr>
        <w:rPr>
          <w:rFonts w:ascii="Times New Roman" w:hAnsi="Times New Roman" w:cs="Times New Roman"/>
          <w:sz w:val="24"/>
          <w:szCs w:val="24"/>
        </w:rPr>
      </w:pPr>
      <w:r>
        <w:rPr>
          <w:rFonts w:ascii="Times New Roman" w:hAnsi="Times New Roman" w:cs="Times New Roman"/>
          <w:sz w:val="24"/>
          <w:szCs w:val="24"/>
        </w:rPr>
        <w:t>menjadi mitra usaha dan investasi untuk mencapai kesejahteraan masyarakat melalui produk-produk berkualitas.</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Mnc Internasional Tbk</w:t>
      </w:r>
    </w:p>
    <w:p>
      <w:pPr>
        <w:ind w:firstLine="720"/>
        <w:rPr>
          <w:rFonts w:ascii="Times New Roman" w:hAnsi="Times New Roman" w:cs="Times New Roman"/>
          <w:sz w:val="24"/>
          <w:szCs w:val="24"/>
        </w:rPr>
      </w:pPr>
      <w:r>
        <w:rPr>
          <w:rFonts w:ascii="Times New Roman" w:hAnsi="Times New Roman" w:cs="Times New Roman"/>
          <w:sz w:val="24"/>
          <w:szCs w:val="24"/>
        </w:rPr>
        <w:t>PT Bank MNC Internasional Tbk, sebelumnya dikenal sebagai PT Bank ICB Bumiputera Tbk, merupakan lembaga keuangan yang berbasis di Indonesia. Usahanya dikategorikan ke dalam perbankan usaha, konsumen, treasury, dan segmen lainnya. Bank menyediakan berbagai produk dan layanan, termasuk tabungan dan deposito, yang mencakup rekening tabungan biasa dan giro, fasilitas kredit, yang memberikan pinjaman kepada usaha kecil dan menengah, produk aset konsumen, yang meliputi kredit properti dan mobil, treasury, yang meliputi produk treasury pembiayaan perdagangan, yang meliputi surat kredit, jaminan perusahaan asuransi, jaminan pengiriman, trust receipt, wesel ekspor, dan pengumpulan dokumen, dan pengiriman uang, yang meliputi transaksi valuta asing. Bank ini didukung oleh kantor cabang, kantor cabang pembantu, kantor kas, titik pembayaran, dan anjungan tunai mandiri (ATM) di seluruh Indonesia. Adapun visi dari perusahaan ini adalah layanan bintang lima, yang mengikuti gaya hidup nasabah berlandaskan teknologi terkini dan membuat semua transaksi keuangan menjadi mudah. Sedangkan misi dalam</w:t>
      </w:r>
      <w:r>
        <w:rPr>
          <w:rFonts w:ascii="Times New Roman" w:hAnsi="Times New Roman" w:eastAsia="Times New Roman" w:cs="Times New Roman"/>
          <w:color w:val="000000"/>
          <w:sz w:val="24"/>
          <w:szCs w:val="24"/>
        </w:rPr>
        <w:t xml:space="preserve"> Bank Mnc Internasional </w:t>
      </w:r>
      <w:r>
        <w:rPr>
          <w:rFonts w:ascii="Times New Roman" w:hAnsi="Times New Roman" w:cs="Times New Roman"/>
          <w:sz w:val="24"/>
          <w:szCs w:val="24"/>
        </w:rPr>
        <w:t>ini adalah :</w:t>
      </w:r>
    </w:p>
    <w:p>
      <w:pPr>
        <w:pStyle w:val="23"/>
        <w:numPr>
          <w:ilvl w:val="0"/>
          <w:numId w:val="28"/>
        </w:numPr>
        <w:rPr>
          <w:rFonts w:ascii="Times New Roman" w:hAnsi="Times New Roman" w:cs="Times New Roman"/>
          <w:i/>
          <w:sz w:val="24"/>
          <w:szCs w:val="24"/>
        </w:rPr>
      </w:pPr>
      <w:r>
        <w:rPr>
          <w:rFonts w:ascii="Times New Roman" w:hAnsi="Times New Roman" w:cs="Times New Roman"/>
          <w:sz w:val="24"/>
          <w:szCs w:val="24"/>
        </w:rPr>
        <w:t xml:space="preserve">menawarkan layanan keuangan yang sesuai gaya hidup dengan membuat hidup nasabah menjadi lebih mudah, untuk nasabah retail dengan segmen menengah ke atas, termasuk di dalamnya para usaha kecil menengah, dengan memberikan pengalaman layanan perbankan yang memuaskan melalui cabang dan </w:t>
      </w:r>
      <w:r>
        <w:rPr>
          <w:rFonts w:ascii="Times New Roman" w:hAnsi="Times New Roman" w:cs="Times New Roman"/>
          <w:i/>
          <w:sz w:val="24"/>
          <w:szCs w:val="24"/>
        </w:rPr>
        <w:t>electronic channels.</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Capital Indonesia Tbk</w:t>
      </w:r>
    </w:p>
    <w:p>
      <w:pPr>
        <w:ind w:firstLine="810"/>
        <w:rPr>
          <w:rFonts w:ascii="Times New Roman" w:hAnsi="Times New Roman" w:cs="Times New Roman"/>
          <w:sz w:val="24"/>
          <w:szCs w:val="24"/>
        </w:rPr>
      </w:pPr>
      <w:r>
        <w:rPr>
          <w:rFonts w:ascii="Times New Roman" w:hAnsi="Times New Roman" w:cs="Times New Roman"/>
          <w:bCs/>
          <w:color w:val="000000" w:themeColor="text1"/>
          <w:sz w:val="24"/>
          <w:szCs w:val="24"/>
        </w:rPr>
        <w:t>Bank Capital Indonesia</w:t>
      </w:r>
      <w:r>
        <w:rPr>
          <w:rFonts w:ascii="Times New Roman" w:hAnsi="Times New Roman" w:cs="Times New Roman"/>
          <w:color w:val="000000" w:themeColor="text1"/>
          <w:sz w:val="24"/>
          <w:szCs w:val="24"/>
        </w:rPr>
        <w:t xml:space="preserve"> atau lebih dikenal sebagai </w:t>
      </w:r>
      <w:r>
        <w:rPr>
          <w:rFonts w:ascii="Times New Roman" w:hAnsi="Times New Roman" w:cs="Times New Roman"/>
          <w:bCs/>
          <w:color w:val="000000" w:themeColor="text1"/>
          <w:sz w:val="24"/>
          <w:szCs w:val="24"/>
        </w:rPr>
        <w:t>Bank Capital</w:t>
      </w:r>
      <w:r>
        <w:rPr>
          <w:rFonts w:ascii="Times New Roman" w:hAnsi="Times New Roman" w:cs="Times New Roman"/>
          <w:color w:val="000000" w:themeColor="text1"/>
          <w:sz w:val="24"/>
          <w:szCs w:val="24"/>
        </w:rPr>
        <w:t xml:space="preserve"> adalah sebuah </w:t>
      </w:r>
      <w:r>
        <w:fldChar w:fldCharType="begin"/>
      </w:r>
      <w:r>
        <w:instrText xml:space="preserve"> HYPERLINK "https://id.wikipedia.org/wiki/Bank" \o "Bank" </w:instrText>
      </w:r>
      <w:r>
        <w:fldChar w:fldCharType="separate"/>
      </w:r>
      <w:r>
        <w:rPr>
          <w:rStyle w:val="12"/>
          <w:rFonts w:ascii="Times New Roman" w:hAnsi="Times New Roman" w:cs="Times New Roman"/>
          <w:color w:val="000000" w:themeColor="text1"/>
          <w:sz w:val="24"/>
          <w:szCs w:val="24"/>
          <w:u w:val="none"/>
        </w:rPr>
        <w:t>bank</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yang berdiri sejak </w:t>
      </w:r>
      <w:r>
        <w:fldChar w:fldCharType="begin"/>
      </w:r>
      <w:r>
        <w:instrText xml:space="preserve"> HYPERLINK "https://id.wikipedia.org/wiki/1989" \o "1989" </w:instrText>
      </w:r>
      <w:r>
        <w:fldChar w:fldCharType="separate"/>
      </w:r>
      <w:r>
        <w:rPr>
          <w:rStyle w:val="12"/>
          <w:rFonts w:ascii="Times New Roman" w:hAnsi="Times New Roman" w:cs="Times New Roman"/>
          <w:color w:val="000000" w:themeColor="text1"/>
          <w:sz w:val="24"/>
          <w:szCs w:val="24"/>
          <w:u w:val="none"/>
        </w:rPr>
        <w:t>1989</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dan berkantor pusat di </w:t>
      </w:r>
      <w:r>
        <w:fldChar w:fldCharType="begin"/>
      </w:r>
      <w:r>
        <w:instrText xml:space="preserve"> HYPERLINK "https://id.wikipedia.org/wiki/Jakarta" \o "Jakarta" </w:instrText>
      </w:r>
      <w:r>
        <w:fldChar w:fldCharType="separate"/>
      </w:r>
      <w:r>
        <w:rPr>
          <w:rStyle w:val="12"/>
          <w:rFonts w:ascii="Times New Roman" w:hAnsi="Times New Roman" w:cs="Times New Roman"/>
          <w:color w:val="000000" w:themeColor="text1"/>
          <w:sz w:val="24"/>
          <w:szCs w:val="24"/>
          <w:u w:val="none"/>
        </w:rPr>
        <w:t>Jakarta</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PT Bank Capital Indonesia Tbk (selanjutnya disebut Bank Capital atau Bank) adalah suatu Perseroan Terbatas yang didirikan berdasarkan hukum dan peraturan perundang-undangan Republik Indonesia. Adapun visi dalam perusahaan ini adalah Menjadi Bank Retail yang Sehat dan Terpercaya. Sedangkan misi dalam </w:t>
      </w:r>
      <w:r>
        <w:rPr>
          <w:rFonts w:ascii="Times New Roman" w:hAnsi="Times New Roman" w:eastAsia="Times New Roman" w:cs="Times New Roman"/>
          <w:color w:val="000000"/>
          <w:sz w:val="24"/>
          <w:szCs w:val="24"/>
        </w:rPr>
        <w:t>Bank Capital Indonesia</w:t>
      </w:r>
      <w:r>
        <w:rPr>
          <w:rFonts w:ascii="Times New Roman" w:hAnsi="Times New Roman" w:cs="Times New Roman"/>
          <w:sz w:val="24"/>
          <w:szCs w:val="24"/>
        </w:rPr>
        <w:t xml:space="preserve"> ini adalah :</w:t>
      </w:r>
    </w:p>
    <w:p>
      <w:pPr>
        <w:pStyle w:val="23"/>
        <w:numPr>
          <w:ilvl w:val="0"/>
          <w:numId w:val="29"/>
        </w:numPr>
        <w:rPr>
          <w:rFonts w:ascii="Times New Roman" w:hAnsi="Times New Roman" w:cs="Times New Roman"/>
          <w:sz w:val="24"/>
          <w:szCs w:val="24"/>
        </w:rPr>
      </w:pPr>
      <w:r>
        <w:rPr>
          <w:rFonts w:ascii="Times New Roman" w:hAnsi="Times New Roman" w:cs="Times New Roman"/>
          <w:sz w:val="24"/>
          <w:szCs w:val="24"/>
        </w:rPr>
        <w:t>Menyediakan layanan keuangan dengan pendekatan personal</w:t>
      </w:r>
    </w:p>
    <w:p>
      <w:pPr>
        <w:pStyle w:val="23"/>
        <w:numPr>
          <w:ilvl w:val="0"/>
          <w:numId w:val="29"/>
        </w:numPr>
        <w:rPr>
          <w:rFonts w:ascii="Times New Roman" w:hAnsi="Times New Roman" w:cs="Times New Roman"/>
          <w:sz w:val="24"/>
          <w:szCs w:val="24"/>
        </w:rPr>
      </w:pPr>
      <w:r>
        <w:rPr>
          <w:rFonts w:ascii="Times New Roman" w:hAnsi="Times New Roman" w:cs="Times New Roman"/>
          <w:sz w:val="24"/>
          <w:szCs w:val="24"/>
        </w:rPr>
        <w:t>Memberikan nilai tambah dan hasil yang maksimal kepada para pihak yang berkepentingan dengan PT Bank Capital Indonesia Tbk.</w:t>
      </w:r>
    </w:p>
    <w:p>
      <w:pPr>
        <w:ind w:firstLine="0"/>
        <w:rPr>
          <w:rFonts w:ascii="Times New Roman" w:hAnsi="Times New Roman" w:cs="Times New Roman"/>
          <w:sz w:val="24"/>
          <w:szCs w:val="24"/>
        </w:rPr>
      </w:pP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Central Asia Tbk</w:t>
      </w:r>
    </w:p>
    <w:p>
      <w:pPr>
        <w:ind w:firstLine="720"/>
        <w:rPr>
          <w:rFonts w:ascii="Times New Roman" w:hAnsi="Times New Roman" w:cs="Times New Roman"/>
          <w:sz w:val="24"/>
          <w:szCs w:val="24"/>
        </w:rPr>
      </w:pPr>
      <w:r>
        <w:rPr>
          <w:rFonts w:ascii="Times New Roman" w:hAnsi="Times New Roman" w:cs="Times New Roman"/>
          <w:sz w:val="24"/>
          <w:szCs w:val="24"/>
        </w:rPr>
        <w:t>Bank Central Asia berawal dari sebuah usaha dagang bernama NV Knitting Factory di Semarang yang didirikan pada tanggal 10 Agustus 1955, dengan akte notaris no 38, kongsi dagang ini kemudian berkembang menjadi N.V Bank Central Asia, yang pertama kali beroperasidi pusat perniagaan di jalan Asemka pada tanggal 21 Februari 1957. Pada tanggal 18 maret 1960 dikukuhkan menjadi PT. Bank Central Asia. Adapun Visi dalam perusahaan ini adalah Bank pilihan utama andalan masyarakat yang berperan sebagai pilar penting perekonomian Indonesia. Sedangkan misi dalam</w:t>
      </w:r>
      <w:r>
        <w:rPr>
          <w:rFonts w:ascii="Times New Roman" w:hAnsi="Times New Roman" w:eastAsia="Times New Roman" w:cs="Times New Roman"/>
          <w:color w:val="000000"/>
          <w:sz w:val="24"/>
          <w:szCs w:val="24"/>
        </w:rPr>
        <w:t xml:space="preserve"> Bank Central Asia </w:t>
      </w:r>
      <w:r>
        <w:rPr>
          <w:rFonts w:ascii="Times New Roman" w:hAnsi="Times New Roman" w:cs="Times New Roman"/>
          <w:sz w:val="24"/>
          <w:szCs w:val="24"/>
        </w:rPr>
        <w:t>ini adalah :</w:t>
      </w:r>
    </w:p>
    <w:p>
      <w:pPr>
        <w:pStyle w:val="23"/>
        <w:numPr>
          <w:ilvl w:val="0"/>
          <w:numId w:val="30"/>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Membangun institusi yang unggul di bidang penyelesaian pembayaran dan solusi keuangan bagi nasabah bisnis dan perorangan.</w:t>
      </w:r>
    </w:p>
    <w:p>
      <w:pPr>
        <w:pStyle w:val="23"/>
        <w:numPr>
          <w:ilvl w:val="0"/>
          <w:numId w:val="30"/>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Memahami beragam kebutuhan nasabah dan memberikan layanan finansial yang tepat demi tercapainya kepuasan optimal bagi nasabah.</w:t>
      </w:r>
    </w:p>
    <w:p>
      <w:pPr>
        <w:pStyle w:val="23"/>
        <w:numPr>
          <w:ilvl w:val="0"/>
          <w:numId w:val="30"/>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Meningkatkan nilai francais dan nilai stakeholders BCA.</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Harda Internasional Tbk</w:t>
      </w:r>
    </w:p>
    <w:p>
      <w:pPr>
        <w:ind w:firstLine="720"/>
        <w:rPr>
          <w:rFonts w:ascii="Times New Roman" w:hAnsi="Times New Roman" w:cs="Times New Roman"/>
          <w:sz w:val="24"/>
          <w:szCs w:val="24"/>
        </w:rPr>
      </w:pPr>
      <w:r>
        <w:rPr>
          <w:rFonts w:ascii="Times New Roman" w:hAnsi="Times New Roman" w:cs="Times New Roman"/>
          <w:sz w:val="24"/>
          <w:szCs w:val="24"/>
        </w:rPr>
        <w:t xml:space="preserve">Bank Harda Internasional Tbk (Bank BHI) didirikan pada tanggal 21 Oktober 1992 dengan nama PT Bank Arta Griya dan mulai beroperasi secara komersial pada tanggal 10 Oktober 1994. </w:t>
      </w:r>
      <w:r>
        <w:rPr>
          <w:rStyle w:val="25"/>
          <w:rFonts w:ascii="Times New Roman" w:hAnsi="Times New Roman" w:cs="Times New Roman"/>
          <w:sz w:val="24"/>
          <w:szCs w:val="24"/>
        </w:rPr>
        <w:t xml:space="preserve">PT </w:t>
      </w:r>
      <w:r>
        <w:rPr>
          <w:rStyle w:val="25"/>
          <w:rFonts w:ascii="Times New Roman" w:hAnsi="Times New Roman" w:cs="Times New Roman"/>
          <w:bCs/>
          <w:sz w:val="24"/>
          <w:szCs w:val="24"/>
        </w:rPr>
        <w:t>Bank Harda Internasional Tbk</w:t>
      </w:r>
      <w:r>
        <w:rPr>
          <w:rStyle w:val="25"/>
          <w:rFonts w:ascii="Times New Roman" w:hAnsi="Times New Roman" w:cs="Times New Roman"/>
          <w:sz w:val="24"/>
          <w:szCs w:val="24"/>
        </w:rPr>
        <w:t xml:space="preserve"> merupakan </w:t>
      </w:r>
      <w:r>
        <w:rPr>
          <w:rStyle w:val="25"/>
          <w:rFonts w:ascii="Times New Roman" w:hAnsi="Times New Roman" w:cs="Times New Roman"/>
          <w:bCs/>
          <w:sz w:val="24"/>
          <w:szCs w:val="24"/>
        </w:rPr>
        <w:t>perusahaan</w:t>
      </w:r>
      <w:r>
        <w:rPr>
          <w:rStyle w:val="25"/>
          <w:rFonts w:ascii="Times New Roman" w:hAnsi="Times New Roman" w:cs="Times New Roman"/>
          <w:sz w:val="24"/>
          <w:szCs w:val="24"/>
        </w:rPr>
        <w:t xml:space="preserve"> yang berbasis di Indonesia yang utamanya bergerak dalam sektor </w:t>
      </w:r>
      <w:r>
        <w:rPr>
          <w:rStyle w:val="25"/>
          <w:rFonts w:ascii="Times New Roman" w:hAnsi="Times New Roman" w:cs="Times New Roman"/>
          <w:bCs/>
          <w:sz w:val="24"/>
          <w:szCs w:val="24"/>
        </w:rPr>
        <w:t>perbankan</w:t>
      </w:r>
      <w:r>
        <w:rPr>
          <w:rStyle w:val="25"/>
          <w:rFonts w:ascii="Times New Roman" w:hAnsi="Times New Roman" w:cs="Times New Roman"/>
          <w:sz w:val="24"/>
          <w:szCs w:val="24"/>
        </w:rPr>
        <w:t xml:space="preserve">. </w:t>
      </w:r>
      <w:r>
        <w:rPr>
          <w:rStyle w:val="25"/>
          <w:rFonts w:ascii="Times New Roman" w:hAnsi="Times New Roman" w:cs="Times New Roman"/>
          <w:bCs/>
          <w:sz w:val="24"/>
          <w:szCs w:val="24"/>
        </w:rPr>
        <w:t>Perusahaan</w:t>
      </w:r>
      <w:r>
        <w:rPr>
          <w:rStyle w:val="25"/>
          <w:rFonts w:ascii="Times New Roman" w:hAnsi="Times New Roman" w:cs="Times New Roman"/>
          <w:sz w:val="24"/>
          <w:szCs w:val="24"/>
        </w:rPr>
        <w:t xml:space="preserve"> ini beroperasi dengan nama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BHI. Produk-produknya meliputi tabungan, giro, dan deposito. Perusahaan ini juga menawarkan beragam pinjaman, seperti KPR, pinjaman kepemilikan mobil, modal kerja, dan pinjaman investasi. Adapun Visi dalam perusahaan ini adalah </w:t>
      </w:r>
      <w:r>
        <w:rPr>
          <w:rFonts w:ascii="Times New Roman" w:hAnsi="Times New Roman" w:cs="Times New Roman"/>
          <w:sz w:val="24"/>
          <w:szCs w:val="24"/>
        </w:rPr>
        <w:t xml:space="preserve">Menjadikan Bank BHI sebagai Bank yang dikenal, terpercaya dan berkualitas dengan dukungan organisasi yang solid, sumber daya manusia yang kompeten dan memiliki integritas tinggi serta memanfaatkan teknologi informasi secara optimal. Sedangkan misi dalam </w:t>
      </w:r>
      <w:r>
        <w:rPr>
          <w:rFonts w:ascii="Times New Roman" w:hAnsi="Times New Roman" w:eastAsia="Times New Roman" w:cs="Times New Roman"/>
          <w:color w:val="000000"/>
          <w:sz w:val="24"/>
          <w:szCs w:val="24"/>
        </w:rPr>
        <w:t>Bank Harda Internasional</w:t>
      </w:r>
      <w:r>
        <w:rPr>
          <w:rFonts w:ascii="Times New Roman" w:hAnsi="Times New Roman" w:cs="Times New Roman"/>
          <w:sz w:val="24"/>
          <w:szCs w:val="24"/>
        </w:rPr>
        <w:t xml:space="preserve"> ini adalah :</w:t>
      </w:r>
    </w:p>
    <w:p>
      <w:pPr>
        <w:pStyle w:val="23"/>
        <w:numPr>
          <w:ilvl w:val="0"/>
          <w:numId w:val="31"/>
        </w:numPr>
        <w:rPr>
          <w:rFonts w:ascii="Times New Roman" w:hAnsi="Times New Roman" w:cs="Times New Roman"/>
          <w:sz w:val="24"/>
          <w:szCs w:val="24"/>
        </w:rPr>
      </w:pPr>
      <w:r>
        <w:rPr>
          <w:rFonts w:ascii="Times New Roman" w:hAnsi="Times New Roman" w:cs="Times New Roman"/>
          <w:sz w:val="24"/>
          <w:szCs w:val="24"/>
        </w:rPr>
        <w:t>Mewujudkan Bank BHI yang sehat dan stabil.</w:t>
      </w:r>
    </w:p>
    <w:p>
      <w:pPr>
        <w:pStyle w:val="23"/>
        <w:numPr>
          <w:ilvl w:val="0"/>
          <w:numId w:val="31"/>
        </w:numPr>
        <w:rPr>
          <w:rFonts w:ascii="Times New Roman" w:hAnsi="Times New Roman" w:cs="Times New Roman"/>
          <w:sz w:val="24"/>
          <w:szCs w:val="24"/>
        </w:rPr>
      </w:pPr>
      <w:r>
        <w:rPr>
          <w:rFonts w:ascii="Times New Roman" w:hAnsi="Times New Roman" w:cs="Times New Roman"/>
          <w:sz w:val="24"/>
          <w:szCs w:val="24"/>
        </w:rPr>
        <w:t>Mampu berkembang secara berkesinambungan serta memberi manfaat bagi semua pihak yang berkepentingan.</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Bukopin Tbk</w:t>
      </w:r>
    </w:p>
    <w:p>
      <w:pPr>
        <w:ind w:firstLine="720"/>
        <w:rPr>
          <w:rStyle w:val="25"/>
          <w:rFonts w:ascii="Times New Roman" w:hAnsi="Times New Roman" w:cs="Times New Roman"/>
          <w:sz w:val="24"/>
          <w:szCs w:val="24"/>
        </w:rPr>
      </w:pPr>
      <w:r>
        <w:rPr>
          <w:rFonts w:ascii="Times New Roman" w:hAnsi="Times New Roman" w:cs="Times New Roman"/>
          <w:sz w:val="24"/>
          <w:szCs w:val="24"/>
        </w:rPr>
        <w:t xml:space="preserve">Bank Bukopin Tbk didirikan di lndonesia pada tanggal 10 Juli 1970 dengan nama Bank Umum Koperasi Indonesia (disingkat Bukopin) dan mulai melakukan usaha komersial sebagai bank umum koperasi di Indonesia sejak tanggal 16 Maret 1971. Adapun visi dari perusahaan ini adalah </w:t>
      </w:r>
      <w:r>
        <w:rPr>
          <w:rStyle w:val="25"/>
          <w:rFonts w:ascii="Times New Roman" w:hAnsi="Times New Roman" w:cs="Times New Roman"/>
          <w:sz w:val="24"/>
          <w:szCs w:val="24"/>
        </w:rPr>
        <w:t xml:space="preserve">menjadi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yang terpercaya dalam pelayanan jasa keuangan. Sedangkan misi dalam </w:t>
      </w:r>
      <w:r>
        <w:rPr>
          <w:rFonts w:ascii="Times New Roman" w:hAnsi="Times New Roman" w:eastAsia="Times New Roman" w:cs="Times New Roman"/>
          <w:color w:val="000000"/>
          <w:sz w:val="24"/>
          <w:szCs w:val="24"/>
        </w:rPr>
        <w:t>Bank Bukopin</w:t>
      </w:r>
      <w:r>
        <w:rPr>
          <w:rStyle w:val="25"/>
          <w:rFonts w:ascii="Times New Roman" w:hAnsi="Times New Roman" w:cs="Times New Roman"/>
          <w:sz w:val="24"/>
          <w:szCs w:val="24"/>
        </w:rPr>
        <w:t xml:space="preserve"> ini adalah :</w:t>
      </w:r>
    </w:p>
    <w:p>
      <w:pPr>
        <w:pStyle w:val="23"/>
        <w:numPr>
          <w:ilvl w:val="0"/>
          <w:numId w:val="32"/>
        </w:numPr>
        <w:rPr>
          <w:rStyle w:val="25"/>
          <w:rFonts w:ascii="Times New Roman" w:hAnsi="Times New Roman" w:cs="Times New Roman"/>
          <w:sz w:val="24"/>
          <w:szCs w:val="24"/>
        </w:rPr>
      </w:pPr>
      <w:r>
        <w:rPr>
          <w:rStyle w:val="25"/>
          <w:rFonts w:ascii="Times New Roman" w:hAnsi="Times New Roman" w:cs="Times New Roman"/>
          <w:sz w:val="24"/>
          <w:szCs w:val="24"/>
        </w:rPr>
        <w:t>Memberikan pelayanan yang terbaik kepada nasabah.</w:t>
      </w:r>
    </w:p>
    <w:p>
      <w:pPr>
        <w:pStyle w:val="23"/>
        <w:numPr>
          <w:ilvl w:val="0"/>
          <w:numId w:val="32"/>
        </w:numPr>
        <w:rPr>
          <w:rStyle w:val="25"/>
          <w:rFonts w:ascii="Times New Roman" w:hAnsi="Times New Roman" w:cs="Times New Roman"/>
          <w:sz w:val="24"/>
          <w:szCs w:val="24"/>
        </w:rPr>
      </w:pPr>
      <w:r>
        <w:rPr>
          <w:rStyle w:val="25"/>
          <w:rFonts w:ascii="Times New Roman" w:hAnsi="Times New Roman" w:cs="Times New Roman"/>
          <w:sz w:val="24"/>
          <w:szCs w:val="24"/>
        </w:rPr>
        <w:t>Turut berperan dalam pengembangan usaha menengah, kecil, mikro dan koperasi, serta meningkatkan nilai tambah investasi pemegang saham dan kesejahteraan karyawan.</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Mestika Dharma Tbk</w:t>
      </w:r>
    </w:p>
    <w:p>
      <w:pPr>
        <w:ind w:firstLine="720"/>
        <w:rPr>
          <w:rFonts w:ascii="Times New Roman" w:hAnsi="Times New Roman" w:cs="Times New Roman"/>
          <w:sz w:val="24"/>
          <w:szCs w:val="24"/>
        </w:rPr>
      </w:pPr>
      <w:r>
        <w:rPr>
          <w:rFonts w:ascii="Times New Roman" w:hAnsi="Times New Roman" w:cs="Times New Roman"/>
          <w:sz w:val="24"/>
          <w:szCs w:val="24"/>
        </w:rPr>
        <w:t xml:space="preserve">PT. Bank Mestika Dharma Tbk. (BBMD) merupakan bank umum swasta devisa yang berkantor pusat di Medan, Sumatera Utara. Berdiri sejak tahun 1955, dalam pertumbuhannya, BBMD memfokuskan usaha pada retail banking dan prinsip prudential banking. BBMD senantiasa berupaya memberikan pelayanannya dengan memenuhi kebutuhan nasabahnya melalui produk dan jasa perbankannya seperti: kredit konsumsi, kredit investasi, dan kredit modal kerja, dan berbagai produk tabungan serta rekening giro dan deposito. BBMD tercatat pada Bursa Efek Indonesia di tahun 2013 pada Papan Utama. Perusahaan didirikan pada tahun 1955 dan berpusat di Medan, Sumatra Utara, Indonesia. Adapun visi dalam perusahaan ini adalah menjadi Bank BUKU III sebelum tahun 2028 yang berkontribusi bagi pertumbuhan ekonomi nasional dengan mengutamakan profesionalisme perbankan dan berlandaskan prinsip Keuangan Berkelanjutan. Sedangkan misi dalam </w:t>
      </w:r>
      <w:r>
        <w:rPr>
          <w:rFonts w:ascii="Times New Roman" w:hAnsi="Times New Roman" w:eastAsia="Times New Roman" w:cs="Times New Roman"/>
          <w:color w:val="000000"/>
          <w:sz w:val="24"/>
          <w:szCs w:val="24"/>
        </w:rPr>
        <w:t>Bank Mestika Dharma</w:t>
      </w:r>
      <w:r>
        <w:rPr>
          <w:rFonts w:ascii="Times New Roman" w:hAnsi="Times New Roman" w:cs="Times New Roman"/>
          <w:sz w:val="24"/>
          <w:szCs w:val="24"/>
        </w:rPr>
        <w:t xml:space="preserve"> ini adalah :</w:t>
      </w:r>
    </w:p>
    <w:p>
      <w:pPr>
        <w:pStyle w:val="23"/>
        <w:numPr>
          <w:ilvl w:val="0"/>
          <w:numId w:val="33"/>
        </w:numPr>
        <w:rPr>
          <w:rFonts w:ascii="Times New Roman" w:hAnsi="Times New Roman" w:cs="Times New Roman"/>
          <w:sz w:val="24"/>
          <w:szCs w:val="24"/>
        </w:rPr>
      </w:pPr>
      <w:r>
        <w:rPr>
          <w:rFonts w:ascii="Times New Roman" w:hAnsi="Times New Roman" w:eastAsia="Times New Roman" w:cs="Times New Roman"/>
          <w:sz w:val="24"/>
          <w:szCs w:val="24"/>
        </w:rPr>
        <w:t>Mengembangkan sinergi dan nilai tambah dengan para pemangku kepentingan, memberikan pelayanan jasa perbankan yang profesional dan berbasis teknologi dengan prinsip manajemen resiko yang baik, penuh kehati-hatian sesuai prinsip GCG.</w:t>
      </w:r>
    </w:p>
    <w:p>
      <w:pPr>
        <w:pStyle w:val="23"/>
        <w:numPr>
          <w:ilvl w:val="0"/>
          <w:numId w:val="33"/>
        </w:numPr>
        <w:rPr>
          <w:rFonts w:ascii="Times New Roman" w:hAnsi="Times New Roman" w:cs="Times New Roman"/>
          <w:sz w:val="24"/>
          <w:szCs w:val="24"/>
        </w:rPr>
      </w:pPr>
      <w:r>
        <w:rPr>
          <w:rFonts w:ascii="Times New Roman" w:hAnsi="Times New Roman" w:eastAsia="Times New Roman" w:cs="Times New Roman"/>
          <w:sz w:val="24"/>
          <w:szCs w:val="24"/>
        </w:rPr>
        <w:t>Prinsip Keuangan Berkelanjutan dan meningkatkan citra Bank dengan mengembangkan SDM yang professional dan berintegritas tinggi.</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Negara Indonesia (Persero) Tbk</w:t>
      </w:r>
    </w:p>
    <w:p>
      <w:pPr>
        <w:ind w:firstLine="720"/>
        <w:rPr>
          <w:rFonts w:ascii="Times New Roman" w:hAnsi="Times New Roman" w:cs="Times New Roman"/>
          <w:sz w:val="24"/>
          <w:szCs w:val="24"/>
        </w:rPr>
      </w:pPr>
      <w:r>
        <w:rPr>
          <w:rFonts w:ascii="Times New Roman" w:hAnsi="Times New Roman" w:cs="Times New Roman"/>
          <w:sz w:val="24"/>
          <w:szCs w:val="24"/>
        </w:rPr>
        <w:t xml:space="preserve">PT Bank Negara Indonesia (Persero) Tbk. atau biasa dikenal dengan BNI merupakan salah satu penyedia jasa perbankan terkemuka di Indonesia. BNI pertama kali didirikan pada tanggal 5 Juli 1946 sebagai bank pertama yang dimiliki oleh Pemerintah Republik Indonesia secara resmi. Adapun visi dalam perusahaan ini adalah Menjadi Lembaga Keuangan yang unggul dalam layanan dan kinerja secara berkelanjutan. Sedangkan misi dalam </w:t>
      </w:r>
      <w:r>
        <w:rPr>
          <w:rFonts w:ascii="Times New Roman" w:hAnsi="Times New Roman" w:eastAsia="Times New Roman" w:cs="Times New Roman"/>
          <w:color w:val="000000"/>
          <w:sz w:val="24"/>
          <w:szCs w:val="24"/>
        </w:rPr>
        <w:t>Bank Negara Indonesia</w:t>
      </w:r>
      <w:r>
        <w:rPr>
          <w:rFonts w:ascii="Times New Roman" w:hAnsi="Times New Roman" w:cs="Times New Roman"/>
          <w:sz w:val="24"/>
          <w:szCs w:val="24"/>
        </w:rPr>
        <w:t xml:space="preserve"> ini adalah :</w:t>
      </w:r>
    </w:p>
    <w:p>
      <w:pPr>
        <w:pStyle w:val="23"/>
        <w:numPr>
          <w:ilvl w:val="0"/>
          <w:numId w:val="34"/>
        </w:numPr>
        <w:rPr>
          <w:rFonts w:ascii="Times New Roman" w:hAnsi="Times New Roman" w:cs="Times New Roman"/>
          <w:sz w:val="24"/>
          <w:szCs w:val="24"/>
        </w:rPr>
      </w:pPr>
      <w:r>
        <w:rPr>
          <w:rFonts w:ascii="Times New Roman" w:hAnsi="Times New Roman" w:eastAsia="Times New Roman" w:cs="Times New Roman"/>
          <w:sz w:val="24"/>
          <w:szCs w:val="24"/>
        </w:rPr>
        <w:t>Memberikan layanan prima dan solusi digital kepada seluruh nasabah selaku mitra bisnis pilihan utama, memperkuat layanan internasional untuk mendukung kebutuhan mitra bisnis global.</w:t>
      </w:r>
    </w:p>
    <w:p>
      <w:pPr>
        <w:pStyle w:val="23"/>
        <w:numPr>
          <w:ilvl w:val="0"/>
          <w:numId w:val="34"/>
        </w:numPr>
        <w:rPr>
          <w:rFonts w:ascii="Times New Roman" w:hAnsi="Times New Roman" w:cs="Times New Roman"/>
          <w:sz w:val="24"/>
          <w:szCs w:val="24"/>
        </w:rPr>
      </w:pPr>
      <w:r>
        <w:rPr>
          <w:rFonts w:ascii="Times New Roman" w:hAnsi="Times New Roman" w:eastAsia="Times New Roman" w:cs="Times New Roman"/>
          <w:sz w:val="24"/>
          <w:szCs w:val="24"/>
        </w:rPr>
        <w:t>Meningkatkan nilai investasi yang unggul bagi investor, menciptakan kondisi terbaik bagi karyawan sebagai tempat kebanggaan untuk berkarya dan berprestasi.</w:t>
      </w:r>
    </w:p>
    <w:p>
      <w:pPr>
        <w:pStyle w:val="23"/>
        <w:numPr>
          <w:ilvl w:val="0"/>
          <w:numId w:val="34"/>
        </w:numPr>
        <w:rPr>
          <w:rFonts w:ascii="Times New Roman" w:hAnsi="Times New Roman" w:cs="Times New Roman"/>
          <w:sz w:val="24"/>
          <w:szCs w:val="24"/>
        </w:rPr>
      </w:pPr>
      <w:r>
        <w:rPr>
          <w:rFonts w:ascii="Times New Roman" w:hAnsi="Times New Roman" w:eastAsia="Times New Roman" w:cs="Times New Roman"/>
          <w:sz w:val="24"/>
          <w:szCs w:val="24"/>
        </w:rPr>
        <w:t>Meningkatkan kepedulian dan tanggung jawab kepada lingkungan dan masyarakat dan menjadi acuan pelaksanaan kepatuhan dan tata kelola perusahaan yang baik bagi industri.</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Rakyat Indonesia (Persero) Tbk</w:t>
      </w:r>
    </w:p>
    <w:p>
      <w:pPr>
        <w:ind w:firstLine="720"/>
        <w:rPr>
          <w:rFonts w:ascii="Times New Roman" w:hAnsi="Times New Roman" w:cs="Times New Roman"/>
          <w:sz w:val="24"/>
          <w:szCs w:val="24"/>
        </w:rPr>
      </w:pPr>
      <w:r>
        <w:rPr>
          <w:rStyle w:val="28"/>
          <w:rFonts w:ascii="Times New Roman" w:hAnsi="Times New Roman" w:cs="Times New Roman"/>
          <w:bCs/>
          <w:sz w:val="24"/>
          <w:szCs w:val="24"/>
        </w:rPr>
        <w:t>Bank Rakyat Indonesia (BRI)</w:t>
      </w:r>
      <w:r>
        <w:rPr>
          <w:rFonts w:ascii="Times New Roman" w:hAnsi="Times New Roman" w:cs="Times New Roman"/>
          <w:sz w:val="24"/>
          <w:szCs w:val="24"/>
        </w:rPr>
        <w:t xml:space="preserve"> adalah salah satu bank milik pemerintah yang terbesar di Indonesia. Bank Rakyat Indonesia (BRI) didirikan di Purwokerto, Jawa Tengah oleh Raden Bei Aria Wirjaatmadja tanggal 16 Desember 1895. Adapun visi dalam perusahaan ini adalah selalu mengutamakan kepuasan nasabah. Sedangkan Misi dari </w:t>
      </w:r>
      <w:r>
        <w:rPr>
          <w:rStyle w:val="28"/>
          <w:rFonts w:ascii="Times New Roman" w:hAnsi="Times New Roman" w:cs="Times New Roman"/>
          <w:bCs/>
          <w:sz w:val="24"/>
          <w:szCs w:val="24"/>
        </w:rPr>
        <w:t xml:space="preserve">Bank Rakyat Indonesia </w:t>
      </w:r>
      <w:r>
        <w:rPr>
          <w:rFonts w:ascii="Times New Roman" w:hAnsi="Times New Roman" w:cs="Times New Roman"/>
          <w:sz w:val="24"/>
          <w:szCs w:val="24"/>
        </w:rPr>
        <w:t>adalah :</w:t>
      </w:r>
    </w:p>
    <w:p>
      <w:pPr>
        <w:pStyle w:val="23"/>
        <w:numPr>
          <w:ilvl w:val="0"/>
          <w:numId w:val="35"/>
        </w:numPr>
        <w:rPr>
          <w:rFonts w:ascii="Times New Roman" w:hAnsi="Times New Roman" w:cs="Times New Roman"/>
          <w:sz w:val="24"/>
          <w:szCs w:val="24"/>
        </w:rPr>
      </w:pPr>
      <w:r>
        <w:rPr>
          <w:rFonts w:ascii="Times New Roman" w:hAnsi="Times New Roman" w:cs="Times New Roman"/>
          <w:sz w:val="24"/>
          <w:szCs w:val="24"/>
        </w:rPr>
        <w:t>Melakukan kegiatan perbankan yang terbaik dengan mengutamakan pelayanan pada usaha mikro, kecil dan menengah untuk menunjang peningkatan perekonomian masyarakat.</w:t>
      </w:r>
    </w:p>
    <w:p>
      <w:pPr>
        <w:pStyle w:val="23"/>
        <w:numPr>
          <w:ilvl w:val="0"/>
          <w:numId w:val="35"/>
        </w:numPr>
        <w:rPr>
          <w:rFonts w:ascii="Times New Roman" w:hAnsi="Times New Roman" w:cs="Times New Roman"/>
          <w:sz w:val="24"/>
          <w:szCs w:val="24"/>
        </w:rPr>
      </w:pPr>
      <w:r>
        <w:rPr>
          <w:rFonts w:ascii="Times New Roman" w:hAnsi="Times New Roman" w:cs="Times New Roman"/>
          <w:sz w:val="24"/>
          <w:szCs w:val="24"/>
        </w:rPr>
        <w:t>Memberikan pelayanan prima kepada nasabah melalui jaringan kerja yang tersebar luas dan didukung oleh sumber daya manusia yang profesional dengan melaksanakan praktek good corporate govermance.</w:t>
      </w:r>
    </w:p>
    <w:p>
      <w:pPr>
        <w:pStyle w:val="23"/>
        <w:numPr>
          <w:ilvl w:val="0"/>
          <w:numId w:val="35"/>
        </w:numPr>
        <w:rPr>
          <w:rFonts w:ascii="Times New Roman" w:hAnsi="Times New Roman" w:cs="Times New Roman"/>
          <w:sz w:val="24"/>
          <w:szCs w:val="24"/>
        </w:rPr>
      </w:pPr>
      <w:r>
        <w:rPr>
          <w:rFonts w:ascii="Times New Roman" w:hAnsi="Times New Roman" w:cs="Times New Roman"/>
          <w:sz w:val="24"/>
          <w:szCs w:val="24"/>
        </w:rPr>
        <w:t>Memberikan keuntungan dan manfaat yang optimal kepada pihak-pihak yang berkepentingan.</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Tabungan Negara (Persero) Tbk</w:t>
      </w:r>
    </w:p>
    <w:p>
      <w:pPr>
        <w:ind w:firstLine="720"/>
        <w:rPr>
          <w:rFonts w:ascii="Times New Roman" w:hAnsi="Times New Roman" w:eastAsia="Times New Roman" w:cs="Times New Roman"/>
          <w:sz w:val="24"/>
          <w:szCs w:val="24"/>
        </w:rPr>
      </w:pPr>
      <w:r>
        <w:rPr>
          <w:rFonts w:ascii="Times New Roman" w:hAnsi="Times New Roman" w:cs="Times New Roman"/>
          <w:sz w:val="24"/>
          <w:szCs w:val="24"/>
        </w:rPr>
        <w:t xml:space="preserve">Bank Tabungan Negara (Persero) Tbk (Bank BTN) didirikan 09 Februari 1950 dengan nama “Bank Tabungan Pos”. Kantor pusat Bank BTN berlokasi di Jalan Gajah Mada No. 1, Jakarta Pusat 10130 – Indonesia. Adapun </w:t>
      </w:r>
      <w:r>
        <w:rPr>
          <w:rFonts w:ascii="Times New Roman" w:hAnsi="Times New Roman" w:eastAsia="Times New Roman" w:cs="Times New Roman"/>
          <w:sz w:val="24"/>
          <w:szCs w:val="24"/>
        </w:rPr>
        <w:t>visi dalam perusahaan ini adalah  “Terdepan dan terpercaya dalam memfasilitasi sektor perumahan dan jasa layanan keuangan keluarga. Sedangkan Misi dalam Bank Tabungan Negara (persero) Tbk adalah :</w:t>
      </w:r>
    </w:p>
    <w:p>
      <w:pPr>
        <w:pStyle w:val="23"/>
        <w:numPr>
          <w:ilvl w:val="0"/>
          <w:numId w:val="36"/>
        </w:numPr>
        <w:rPr>
          <w:rFonts w:ascii="Times New Roman" w:hAnsi="Times New Roman" w:eastAsia="Times New Roman" w:cs="Times New Roman"/>
          <w:sz w:val="24"/>
          <w:szCs w:val="24"/>
        </w:rPr>
      </w:pPr>
      <w:r>
        <w:rPr>
          <w:rFonts w:ascii="Times New Roman" w:hAnsi="Times New Roman" w:eastAsia="Times New Roman" w:cs="Times New Roman"/>
          <w:sz w:val="24"/>
          <w:szCs w:val="24"/>
        </w:rPr>
        <w:t>Berperan aktif dalam mendukung sektor perumahan, baik dari sisi penawaran maupun dari sisi permintaan, yang terintegrasi dalam sektor perumahan di Indonesia.</w:t>
      </w:r>
    </w:p>
    <w:p>
      <w:pPr>
        <w:pStyle w:val="23"/>
        <w:numPr>
          <w:ilvl w:val="0"/>
          <w:numId w:val="36"/>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Memberi layanan unggul dalam pembiayaan kepda sektor perumahan dan kebutuhan keuangan keluarga. Meningkatkan keunggulan kompetitif melalui inovasi pengembangan produk, jasa dan jaringan strategis berbasis digital.</w:t>
      </w:r>
    </w:p>
    <w:p>
      <w:pPr>
        <w:pStyle w:val="23"/>
        <w:numPr>
          <w:ilvl w:val="0"/>
          <w:numId w:val="36"/>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Menyiapkan dan mengembangkan human capital yang berkualitas, profesional dan memiliki integritas tinggi dan meningkatkan shareholder value dengan fokus kepada peningkatan pertumbuhan profitabilitas sesuai dengan prinsip kehati hatian dan good corporate govermance.</w:t>
      </w:r>
    </w:p>
    <w:p>
      <w:pPr>
        <w:pStyle w:val="23"/>
        <w:numPr>
          <w:ilvl w:val="0"/>
          <w:numId w:val="36"/>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Memedulikan kepentingan masyarakat, sosial dan lingkungan secara berkelanjutan.</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Yudha Bhakti Tbk</w:t>
      </w:r>
    </w:p>
    <w:p>
      <w:pPr>
        <w:ind w:firstLine="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Bank Yudha Bhakti Tbk</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didirikan </w:t>
      </w:r>
      <w:r>
        <w:rPr>
          <w:rFonts w:ascii="Times New Roman" w:hAnsi="Times New Roman" w:eastAsia="Times New Roman" w:cs="Times New Roman"/>
          <w:sz w:val="24"/>
          <w:szCs w:val="24"/>
          <w:lang w:val="id-ID"/>
        </w:rPr>
        <w:t xml:space="preserve">sejak tanggal 9 Januari 1990 </w:t>
      </w:r>
      <w:r>
        <w:rPr>
          <w:rFonts w:ascii="Times New Roman" w:hAnsi="Times New Roman" w:eastAsia="Times New Roman" w:cs="Times New Roman"/>
          <w:bCs/>
          <w:sz w:val="24"/>
          <w:szCs w:val="24"/>
        </w:rPr>
        <w:t xml:space="preserve">. </w:t>
      </w:r>
      <w:r>
        <w:rPr>
          <w:rFonts w:ascii="Times New Roman" w:hAnsi="Times New Roman" w:cs="Times New Roman"/>
          <w:sz w:val="24"/>
          <w:szCs w:val="24"/>
        </w:rPr>
        <w:t xml:space="preserve">Berdirinya Bank Yudha Bhakti dilatarbelakangi oleh deregulasi perbankan pada tahun 1988. </w:t>
      </w:r>
      <w:r>
        <w:rPr>
          <w:rFonts w:ascii="Times New Roman" w:hAnsi="Times New Roman" w:eastAsia="Times New Roman" w:cs="Times New Roman"/>
          <w:sz w:val="24"/>
          <w:szCs w:val="24"/>
        </w:rPr>
        <w:t xml:space="preserve">Adapun visi dalam </w:t>
      </w:r>
      <w:r>
        <w:rPr>
          <w:rFonts w:ascii="Times New Roman" w:hAnsi="Times New Roman" w:eastAsia="Times New Roman" w:cs="Times New Roman"/>
          <w:color w:val="000000"/>
          <w:sz w:val="24"/>
          <w:szCs w:val="24"/>
        </w:rPr>
        <w:t>Bank Yudha Bhakti adalah Menjadi Bank ritel yang solid, tumbuh dan berkembang secara berkelanjutan. Sedangkan misi dalam Bank Yudha Bhakti adalah</w:t>
      </w:r>
    </w:p>
    <w:p>
      <w:pPr>
        <w:pStyle w:val="23"/>
        <w:numPr>
          <w:ilvl w:val="0"/>
          <w:numId w:val="37"/>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Mampu mengkreasi suatu nilai yang optimal bagi pemegang saham dan Stakeholder pada umumnya.</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Jtrust Indonesia Tbk</w:t>
      </w:r>
    </w:p>
    <w:p>
      <w:pPr>
        <w:ind w:firstLine="720"/>
        <w:rPr>
          <w:rFonts w:ascii="Times New Roman" w:hAnsi="Times New Roman" w:eastAsia="Times New Roman" w:cs="Times New Roman"/>
          <w:bCs/>
          <w:sz w:val="24"/>
          <w:szCs w:val="24"/>
        </w:rPr>
      </w:pPr>
      <w:r>
        <w:rPr>
          <w:rFonts w:ascii="Times New Roman" w:hAnsi="Times New Roman" w:eastAsia="Times New Roman" w:cs="Times New Roman"/>
          <w:bCs/>
          <w:sz w:val="24"/>
          <w:szCs w:val="24"/>
          <w:lang w:val="id-ID"/>
        </w:rPr>
        <w:t>PT</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bCs/>
          <w:sz w:val="24"/>
          <w:szCs w:val="24"/>
          <w:lang w:val="id-ID"/>
        </w:rPr>
        <w:t>Bank Jtrust Indonesia Tbk</w:t>
      </w:r>
      <w:r>
        <w:rPr>
          <w:rFonts w:ascii="Times New Roman" w:hAnsi="Times New Roman" w:eastAsia="Times New Roman" w:cs="Times New Roman"/>
          <w:sz w:val="24"/>
          <w:szCs w:val="24"/>
          <w:lang w:val="id-ID"/>
        </w:rPr>
        <w:t xml:space="preserve">. (BCIC), dahulu bernama </w:t>
      </w:r>
      <w:r>
        <w:rPr>
          <w:rFonts w:ascii="Times New Roman" w:hAnsi="Times New Roman" w:eastAsia="Times New Roman" w:cs="Times New Roman"/>
          <w:bCs/>
          <w:sz w:val="24"/>
          <w:szCs w:val="24"/>
          <w:lang w:val="id-ID"/>
        </w:rPr>
        <w:t>PT</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bCs/>
          <w:sz w:val="24"/>
          <w:szCs w:val="24"/>
          <w:lang w:val="id-ID"/>
        </w:rPr>
        <w:t>Bank</w:t>
      </w:r>
      <w:r>
        <w:rPr>
          <w:rFonts w:ascii="Times New Roman" w:hAnsi="Times New Roman" w:eastAsia="Times New Roman" w:cs="Times New Roman"/>
          <w:sz w:val="24"/>
          <w:szCs w:val="24"/>
          <w:lang w:val="id-ID"/>
        </w:rPr>
        <w:t xml:space="preserve"> Mutiara </w:t>
      </w:r>
      <w:r>
        <w:rPr>
          <w:rFonts w:ascii="Times New Roman" w:hAnsi="Times New Roman" w:eastAsia="Times New Roman" w:cs="Times New Roman"/>
          <w:bCs/>
          <w:sz w:val="24"/>
          <w:szCs w:val="24"/>
          <w:lang w:val="id-ID"/>
        </w:rPr>
        <w:t>Tbk</w:t>
      </w:r>
      <w:r>
        <w:rPr>
          <w:rFonts w:ascii="Times New Roman" w:hAnsi="Times New Roman" w:eastAsia="Times New Roman" w:cs="Times New Roman"/>
          <w:sz w:val="24"/>
          <w:szCs w:val="24"/>
          <w:lang w:val="id-ID"/>
        </w:rPr>
        <w:t xml:space="preserve">., menyediakan berbagai macam produk dan jasa </w:t>
      </w:r>
      <w:r>
        <w:rPr>
          <w:rFonts w:ascii="Times New Roman" w:hAnsi="Times New Roman" w:eastAsia="Times New Roman" w:cs="Times New Roman"/>
          <w:bCs/>
          <w:sz w:val="24"/>
          <w:szCs w:val="24"/>
          <w:lang w:val="id-ID"/>
        </w:rPr>
        <w:t>perbankan</w:t>
      </w:r>
      <w:r>
        <w:rPr>
          <w:rFonts w:ascii="Times New Roman" w:hAnsi="Times New Roman" w:eastAsia="Times New Roman" w:cs="Times New Roman"/>
          <w:sz w:val="24"/>
          <w:szCs w:val="24"/>
          <w:lang w:val="id-ID"/>
        </w:rPr>
        <w:t xml:space="preserve"> di </w:t>
      </w:r>
      <w:r>
        <w:rPr>
          <w:rFonts w:ascii="Times New Roman" w:hAnsi="Times New Roman" w:eastAsia="Times New Roman" w:cs="Times New Roman"/>
          <w:bCs/>
          <w:sz w:val="24"/>
          <w:szCs w:val="24"/>
          <w:lang w:val="id-ID"/>
        </w:rPr>
        <w:t>Indonesia</w:t>
      </w:r>
      <w:r>
        <w:rPr>
          <w:rFonts w:ascii="Times New Roman" w:hAnsi="Times New Roman" w:eastAsia="Times New Roman" w:cs="Times New Roman"/>
          <w:sz w:val="24"/>
          <w:szCs w:val="24"/>
          <w:lang w:val="id-ID"/>
        </w:rPr>
        <w:t xml:space="preserve">. Produk </w:t>
      </w:r>
      <w:r>
        <w:rPr>
          <w:rFonts w:ascii="Times New Roman" w:hAnsi="Times New Roman" w:eastAsia="Times New Roman" w:cs="Times New Roman"/>
          <w:bCs/>
          <w:sz w:val="24"/>
          <w:szCs w:val="24"/>
          <w:lang w:val="id-ID"/>
        </w:rPr>
        <w:t>perusahaan</w:t>
      </w:r>
      <w:r>
        <w:rPr>
          <w:rFonts w:ascii="Times New Roman" w:hAnsi="Times New Roman" w:eastAsia="Times New Roman" w:cs="Times New Roman"/>
          <w:sz w:val="24"/>
          <w:szCs w:val="24"/>
          <w:lang w:val="id-ID"/>
        </w:rPr>
        <w:t xml:space="preserve"> meliputi: </w:t>
      </w:r>
      <w:r>
        <w:rPr>
          <w:rFonts w:ascii="Times New Roman" w:hAnsi="Times New Roman" w:eastAsia="Times New Roman" w:cs="Times New Roman"/>
          <w:bCs/>
          <w:sz w:val="24"/>
          <w:szCs w:val="24"/>
          <w:lang w:val="id-ID"/>
        </w:rPr>
        <w:t>Bank</w:t>
      </w:r>
      <w:r>
        <w:rPr>
          <w:rFonts w:ascii="Times New Roman" w:hAnsi="Times New Roman" w:eastAsia="Times New Roman" w:cs="Times New Roman"/>
          <w:sz w:val="24"/>
          <w:szCs w:val="24"/>
          <w:lang w:val="id-ID"/>
        </w:rPr>
        <w:t xml:space="preserve"> Ritel, </w:t>
      </w:r>
      <w:r>
        <w:rPr>
          <w:rFonts w:ascii="Times New Roman" w:hAnsi="Times New Roman" w:eastAsia="Times New Roman" w:cs="Times New Roman"/>
          <w:bCs/>
          <w:sz w:val="24"/>
          <w:szCs w:val="24"/>
          <w:lang w:val="id-ID"/>
        </w:rPr>
        <w:t>Bank</w:t>
      </w:r>
      <w:r>
        <w:rPr>
          <w:rFonts w:ascii="Times New Roman" w:hAnsi="Times New Roman" w:eastAsia="Times New Roman" w:cs="Times New Roman"/>
          <w:sz w:val="24"/>
          <w:szCs w:val="24"/>
          <w:lang w:val="id-ID"/>
        </w:rPr>
        <w:t xml:space="preserve"> Konsumer, </w:t>
      </w:r>
      <w:r>
        <w:rPr>
          <w:rFonts w:ascii="Times New Roman" w:hAnsi="Times New Roman" w:eastAsia="Times New Roman" w:cs="Times New Roman"/>
          <w:bCs/>
          <w:sz w:val="24"/>
          <w:szCs w:val="24"/>
          <w:lang w:val="id-ID"/>
        </w:rPr>
        <w:t>Bank</w:t>
      </w:r>
      <w:r>
        <w:rPr>
          <w:rFonts w:ascii="Times New Roman" w:hAnsi="Times New Roman" w:eastAsia="Times New Roman" w:cs="Times New Roman"/>
          <w:sz w:val="24"/>
          <w:szCs w:val="24"/>
          <w:lang w:val="id-ID"/>
        </w:rPr>
        <w:t xml:space="preserve"> UKM, </w:t>
      </w:r>
      <w:r>
        <w:rPr>
          <w:rFonts w:ascii="Times New Roman" w:hAnsi="Times New Roman" w:eastAsia="Times New Roman" w:cs="Times New Roman"/>
          <w:bCs/>
          <w:sz w:val="24"/>
          <w:szCs w:val="24"/>
          <w:lang w:val="id-ID"/>
        </w:rPr>
        <w:t>Bank</w:t>
      </w:r>
      <w:r>
        <w:rPr>
          <w:rFonts w:ascii="Times New Roman" w:hAnsi="Times New Roman" w:eastAsia="Times New Roman" w:cs="Times New Roman"/>
          <w:sz w:val="24"/>
          <w:szCs w:val="24"/>
          <w:lang w:val="id-ID"/>
        </w:rPr>
        <w:t xml:space="preserve"> Internasional, dan Treasuri. </w:t>
      </w:r>
      <w:r>
        <w:rPr>
          <w:rFonts w:ascii="Times New Roman" w:hAnsi="Times New Roman" w:eastAsia="Times New Roman" w:cs="Times New Roman"/>
          <w:bCs/>
          <w:sz w:val="24"/>
          <w:szCs w:val="24"/>
          <w:lang w:val="id-ID"/>
        </w:rPr>
        <w:t>Perusahaan</w:t>
      </w:r>
      <w:r>
        <w:rPr>
          <w:rFonts w:ascii="Times New Roman" w:hAnsi="Times New Roman" w:eastAsia="Times New Roman" w:cs="Times New Roman"/>
          <w:sz w:val="24"/>
          <w:szCs w:val="24"/>
          <w:lang w:val="id-ID"/>
        </w:rPr>
        <w:t xml:space="preserve"> didirikan pada tahun 1997 pada Papan Pengembangan</w:t>
      </w:r>
      <w:r>
        <w:rPr>
          <w:rFonts w:ascii="Times New Roman" w:hAnsi="Times New Roman" w:eastAsia="Times New Roman" w:cs="Times New Roman"/>
          <w:sz w:val="24"/>
          <w:szCs w:val="24"/>
        </w:rPr>
        <w:t xml:space="preserve">. J Trust Bank melihat potensi pertumbuhan ekonomi yang tinggi di Indonesia, dengan populasi terbesar keempat di dunia dan jumlah masyarakat dengan pendapatan menengah yang terus meningkat. Dengan integrasi keahlian perbankan yang didukung wawasan keuangan ritel Jepang, J Trust Bank yakin dapat yang menargetkan kalangan pendapatan menengah tersebut dalam meraih berbagai peluang bisnis di Indonesia dan Asia Tenggara. Adapun visi dalam </w:t>
      </w:r>
      <w:r>
        <w:rPr>
          <w:rFonts w:ascii="Times New Roman" w:hAnsi="Times New Roman" w:eastAsia="Times New Roman" w:cs="Times New Roman"/>
          <w:color w:val="000000"/>
          <w:sz w:val="24"/>
          <w:szCs w:val="24"/>
        </w:rPr>
        <w:t xml:space="preserve">Bank Jtrust Indonesia ini adalah Menjadi bank yang membahagiakan masyarakat Indonesia dengan memberikan pelayanan yang menyenangkan melalui ide-ide baru dan produk-produk keuangan yang inovatif. Sedangkan misi dalam </w:t>
      </w:r>
      <w:r>
        <w:rPr>
          <w:rFonts w:ascii="Times New Roman" w:hAnsi="Times New Roman" w:eastAsia="Times New Roman" w:cs="Times New Roman"/>
          <w:bCs/>
          <w:sz w:val="24"/>
          <w:szCs w:val="24"/>
          <w:lang w:val="id-ID"/>
        </w:rPr>
        <w:t>Bank Jtrust Indonesia</w:t>
      </w:r>
      <w:r>
        <w:rPr>
          <w:rFonts w:ascii="Times New Roman" w:hAnsi="Times New Roman" w:eastAsia="Times New Roman" w:cs="Times New Roman"/>
          <w:bCs/>
          <w:sz w:val="24"/>
          <w:szCs w:val="24"/>
        </w:rPr>
        <w:t xml:space="preserve"> ini adalah :</w:t>
      </w:r>
    </w:p>
    <w:p>
      <w:pPr>
        <w:pStyle w:val="23"/>
        <w:numPr>
          <w:ilvl w:val="0"/>
          <w:numId w:val="38"/>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Memberikan nilai yang terbaik kepada Stakeholders.</w:t>
      </w:r>
    </w:p>
    <w:p>
      <w:pPr>
        <w:pStyle w:val="23"/>
        <w:numPr>
          <w:ilvl w:val="0"/>
          <w:numId w:val="38"/>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Memiliki semangat untuk mengutamakan pelayanan kepada nasabah.</w:t>
      </w:r>
    </w:p>
    <w:p>
      <w:pPr>
        <w:pStyle w:val="23"/>
        <w:numPr>
          <w:ilvl w:val="0"/>
          <w:numId w:val="38"/>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Mengembangkan karyawan agar memiliki integritas yang tinggi.</w:t>
      </w:r>
    </w:p>
    <w:p>
      <w:pPr>
        <w:pStyle w:val="23"/>
        <w:numPr>
          <w:ilvl w:val="0"/>
          <w:numId w:val="38"/>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Memberikan pelayanan yang tercepat agar dapat memenuhi kepuasan nasabah.</w:t>
      </w:r>
    </w:p>
    <w:p>
      <w:pPr>
        <w:pStyle w:val="23"/>
        <w:numPr>
          <w:ilvl w:val="0"/>
          <w:numId w:val="38"/>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Melanjutkan semangat “KAIZEN” kepada nasabah. </w:t>
      </w:r>
    </w:p>
    <w:p>
      <w:pPr>
        <w:pStyle w:val="23"/>
        <w:numPr>
          <w:ilvl w:val="0"/>
          <w:numId w:val="25"/>
        </w:numPr>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PT Bank Danamon Indonesia Tbk</w:t>
      </w:r>
    </w:p>
    <w:p>
      <w:pPr>
        <w:ind w:firstLine="720"/>
        <w:rPr>
          <w:rFonts w:ascii="Times New Roman" w:hAnsi="Times New Roman" w:cs="Times New Roman"/>
          <w:sz w:val="24"/>
          <w:szCs w:val="24"/>
        </w:rPr>
      </w:pPr>
      <w:r>
        <w:rPr>
          <w:rFonts w:ascii="Times New Roman" w:hAnsi="Times New Roman" w:cs="Times New Roman"/>
          <w:color w:val="000000" w:themeColor="text1"/>
          <w:sz w:val="24"/>
          <w:szCs w:val="24"/>
        </w:rPr>
        <w:t xml:space="preserve">Bank Danamon didirikan pada tanggal </w:t>
      </w:r>
      <w:r>
        <w:fldChar w:fldCharType="begin"/>
      </w:r>
      <w:r>
        <w:instrText xml:space="preserve"> HYPERLINK "https://id.wikipedia.org/wiki/16_Juli" \o "16 Juli" </w:instrText>
      </w:r>
      <w:r>
        <w:fldChar w:fldCharType="separate"/>
      </w:r>
      <w:r>
        <w:rPr>
          <w:rStyle w:val="12"/>
          <w:rFonts w:ascii="Times New Roman" w:hAnsi="Times New Roman" w:cs="Times New Roman"/>
          <w:color w:val="000000" w:themeColor="text1"/>
          <w:sz w:val="24"/>
          <w:szCs w:val="24"/>
          <w:u w:val="none"/>
        </w:rPr>
        <w:t>16 Juli</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w:t>
      </w:r>
      <w:r>
        <w:fldChar w:fldCharType="begin"/>
      </w:r>
      <w:r>
        <w:instrText xml:space="preserve"> HYPERLINK "https://id.wikipedia.org/wiki/1956" \o "1956" </w:instrText>
      </w:r>
      <w:r>
        <w:fldChar w:fldCharType="separate"/>
      </w:r>
      <w:r>
        <w:rPr>
          <w:rStyle w:val="12"/>
          <w:rFonts w:ascii="Times New Roman" w:hAnsi="Times New Roman" w:cs="Times New Roman"/>
          <w:color w:val="000000" w:themeColor="text1"/>
          <w:sz w:val="24"/>
          <w:szCs w:val="24"/>
          <w:u w:val="none"/>
        </w:rPr>
        <w:t>1956</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dengan nama PT Bank Kopra Indonesia.  Pada tahun </w:t>
      </w:r>
      <w:r>
        <w:fldChar w:fldCharType="begin"/>
      </w:r>
      <w:r>
        <w:instrText xml:space="preserve"> HYPERLINK "https://id.wikipedia.org/wiki/1976" \o "1976" </w:instrText>
      </w:r>
      <w:r>
        <w:fldChar w:fldCharType="separate"/>
      </w:r>
      <w:r>
        <w:rPr>
          <w:rStyle w:val="12"/>
          <w:rFonts w:ascii="Times New Roman" w:hAnsi="Times New Roman" w:cs="Times New Roman"/>
          <w:color w:val="000000" w:themeColor="text1"/>
          <w:sz w:val="24"/>
          <w:szCs w:val="24"/>
          <w:u w:val="none"/>
        </w:rPr>
        <w:t>1976</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nama bank ini berubah menjadi PT Bank Danamon Indonesia. Bank ini menjadi bank pertama yang memelopori pertukaran mata uang asing dengan menjadi bank devisa pertama di Indonesia pada tahun 1976 dan tercatat sahamnya di bursa sejak tahun </w:t>
      </w:r>
      <w:r>
        <w:fldChar w:fldCharType="begin"/>
      </w:r>
      <w:r>
        <w:instrText xml:space="preserve"> HYPERLINK "https://id.wikipedia.org/wiki/1989" </w:instrText>
      </w:r>
      <w:r>
        <w:fldChar w:fldCharType="separate"/>
      </w:r>
      <w:r>
        <w:rPr>
          <w:rStyle w:val="12"/>
          <w:rFonts w:ascii="Times New Roman" w:hAnsi="Times New Roman" w:cs="Times New Roman"/>
          <w:color w:val="000000" w:themeColor="text1"/>
          <w:sz w:val="24"/>
          <w:szCs w:val="24"/>
          <w:u w:val="none"/>
        </w:rPr>
        <w:t>1989</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PT Bank Danamon Indonesia Tbk adalah Bank swasta nasional terbesar kedua, dan termasuk dalam lima besar bank komersial di Indonesia. Bank Danamon memiliki jaringan distribusi geografi yang terluas dari semua Bank di Indonesia dengan 500 kantor cabang, 790 ATM, serta didukung oleh lebih dari 13.000 karyawan. Bank Danamon saat ini dikenal sebagai salah satu bank terkemuka dibidang konsumen dan UKM selain melayani nasabah korporasi dan kelembagaan di seluruh Indonesia. Adapun visi dalam  Bank Danamon Indonesia adalah Bank Danamon peduli dan membantu jutaan orang mencapai kesejahteraan.”Visi tersebut mengandung arti bahwa semua orang yang ada dalam perusahaan harus memiliki perhatian yang tulus dan mendalam terhadap semua pihak yang berkepentingan dan membantu memfasilitasi semua pelanggan, pegawai, mitra usaha, masyarakat, dan pemegang saham dimana saja, dalam meraih kehidupan yang lebih baik secara keuangan, intelektual, dan social, Sedangkan misi dalam Bank Danamon Indonesia adalah :</w:t>
      </w:r>
    </w:p>
    <w:p>
      <w:pPr>
        <w:pStyle w:val="23"/>
        <w:numPr>
          <w:ilvl w:val="0"/>
          <w:numId w:val="39"/>
        </w:numPr>
        <w:tabs>
          <w:tab w:val="left" w:pos="900"/>
        </w:tabs>
        <w:rPr>
          <w:rFonts w:ascii="Times New Roman" w:hAnsi="Times New Roman" w:cs="Times New Roman"/>
          <w:sz w:val="24"/>
          <w:szCs w:val="24"/>
        </w:rPr>
      </w:pPr>
      <w:r>
        <w:rPr>
          <w:rFonts w:ascii="Times New Roman" w:hAnsi="Times New Roman" w:cs="Times New Roman"/>
          <w:sz w:val="24"/>
          <w:szCs w:val="24"/>
        </w:rPr>
        <w:t>Bank Danamon bertekad untuk menjadi “ Lembaga Keuangan Terkemuka” di Indonesia yang keberadaannya diperhitungkan.</w:t>
      </w:r>
    </w:p>
    <w:p>
      <w:pPr>
        <w:pStyle w:val="23"/>
        <w:numPr>
          <w:ilvl w:val="0"/>
          <w:numId w:val="39"/>
        </w:numPr>
        <w:tabs>
          <w:tab w:val="left" w:pos="900"/>
        </w:tabs>
        <w:rPr>
          <w:rFonts w:ascii="Times New Roman" w:hAnsi="Times New Roman" w:cs="Times New Roman"/>
          <w:sz w:val="24"/>
          <w:szCs w:val="24"/>
        </w:rPr>
      </w:pPr>
      <w:r>
        <w:rPr>
          <w:rFonts w:ascii="Times New Roman" w:hAnsi="Times New Roman" w:cs="Times New Roman"/>
          <w:sz w:val="24"/>
          <w:szCs w:val="24"/>
        </w:rPr>
        <w:t>Suatu organisasi yang terpusat pada nasabah, yang melayani semua segmen dengan menawarkan nilai yang unik untuk masing –masing segmen, berdasarkan keunggulan penjualan dan pelayanan, dan didukung oleh teknologi kelas dunia.</w:t>
      </w:r>
    </w:p>
    <w:p>
      <w:pPr>
        <w:pStyle w:val="23"/>
        <w:numPr>
          <w:ilvl w:val="0"/>
          <w:numId w:val="39"/>
        </w:numPr>
        <w:tabs>
          <w:tab w:val="left" w:pos="900"/>
        </w:tabs>
        <w:rPr>
          <w:rFonts w:ascii="Times New Roman" w:hAnsi="Times New Roman" w:cs="Times New Roman"/>
          <w:sz w:val="24"/>
          <w:szCs w:val="24"/>
        </w:rPr>
      </w:pPr>
      <w:r>
        <w:rPr>
          <w:rFonts w:ascii="Times New Roman" w:hAnsi="Times New Roman" w:cs="Times New Roman"/>
          <w:sz w:val="24"/>
          <w:szCs w:val="24"/>
        </w:rPr>
        <w:t>Aspirasi Bank Danamon adalah menjadi perusahaan pilihan untuk berkarya dan yang dihormati oleh nasabah, karyawan, pemegang saham, regulator dan komunitas dimana PT Bank Danamon berada</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Pembangunan Daerah Banten Tbk</w:t>
      </w:r>
    </w:p>
    <w:p>
      <w:pPr>
        <w:ind w:firstLine="720"/>
        <w:rPr>
          <w:rFonts w:ascii="Times New Roman" w:hAnsi="Times New Roman" w:cs="Times New Roman"/>
          <w:sz w:val="24"/>
          <w:szCs w:val="24"/>
        </w:rPr>
      </w:pPr>
      <w:r>
        <w:rPr>
          <w:rFonts w:ascii="Times New Roman" w:hAnsi="Times New Roman" w:cs="Times New Roman"/>
          <w:sz w:val="24"/>
          <w:szCs w:val="24"/>
        </w:rPr>
        <w:t>Bank Pembangunan Daerah Banten yang dibentuk pada tanggal 11 September 1992 petama kali didirikan dengan nama PT Executive International Bank. Perusahaan ini didirikan berdasarkan Akta Perseroan Terbatas No. 34 tanggal 11 September 1992 dibuat di hadapan Sugiri Kadarisman, SH. Sementara Perseroan beroperasi sebagai Bank Umum di Jakarta berdasarkan Surat Keputusan Menteri Keuangan Republik Indonesia Nomor 673/KMK.017/1993 tanggal 23 Juni 1993 tentang Pemberian Izin Usaha International Bank di Jakarta</w:t>
      </w:r>
      <w:r>
        <w:rPr>
          <w:rFonts w:ascii="Times New Roman" w:hAnsi="Times New Roman" w:eastAsia="Times New Roman" w:cs="Times New Roman"/>
          <w:color w:val="000000"/>
          <w:sz w:val="24"/>
          <w:szCs w:val="24"/>
        </w:rPr>
        <w:t>PT Bank Ina Perdana Tbk</w:t>
      </w:r>
      <w:r>
        <w:rPr>
          <w:rFonts w:ascii="Times New Roman" w:hAnsi="Times New Roman" w:eastAsia="Times New Roman" w:cs="Times New Roman"/>
          <w:sz w:val="24"/>
          <w:szCs w:val="24"/>
        </w:rPr>
        <w:t xml:space="preserve">. Adapun visi dalam </w:t>
      </w:r>
      <w:r>
        <w:rPr>
          <w:rFonts w:ascii="Times New Roman" w:hAnsi="Times New Roman" w:cs="Times New Roman"/>
          <w:sz w:val="24"/>
          <w:szCs w:val="24"/>
        </w:rPr>
        <w:t>Bank Pembangunan Daerah Banten ini adalah Menjadi Bank yang terbaik dan mitra terpercaya</w:t>
      </w:r>
      <w:r>
        <w:rPr>
          <w:rFonts w:ascii="Times New Roman" w:hAnsi="Times New Roman" w:eastAsia="Times New Roman" w:cs="Times New Roman"/>
          <w:sz w:val="24"/>
          <w:szCs w:val="24"/>
        </w:rPr>
        <w:t xml:space="preserve">. Sedangkan misi dalam </w:t>
      </w:r>
      <w:r>
        <w:rPr>
          <w:rFonts w:ascii="Times New Roman" w:hAnsi="Times New Roman" w:cs="Times New Roman"/>
          <w:sz w:val="24"/>
          <w:szCs w:val="24"/>
        </w:rPr>
        <w:t>Bank Pembangunan Daerah Banten adalah :</w:t>
      </w:r>
    </w:p>
    <w:p>
      <w:pPr>
        <w:pStyle w:val="23"/>
        <w:numPr>
          <w:ilvl w:val="0"/>
          <w:numId w:val="40"/>
        </w:numPr>
        <w:rPr>
          <w:rFonts w:ascii="Times New Roman" w:hAnsi="Times New Roman" w:eastAsia="Times New Roman" w:cs="Times New Roman"/>
          <w:sz w:val="24"/>
          <w:szCs w:val="24"/>
        </w:rPr>
      </w:pPr>
      <w:r>
        <w:rPr>
          <w:rFonts w:ascii="Times New Roman" w:hAnsi="Times New Roman" w:cs="Times New Roman"/>
          <w:sz w:val="24"/>
          <w:szCs w:val="24"/>
        </w:rPr>
        <w:t>Mendukung program pembangunan untuk pertumbuhan ekonomi dan kemakmuran masyarakat Banten</w:t>
      </w:r>
    </w:p>
    <w:p>
      <w:pPr>
        <w:pStyle w:val="23"/>
        <w:numPr>
          <w:ilvl w:val="0"/>
          <w:numId w:val="40"/>
        </w:numPr>
        <w:rPr>
          <w:rFonts w:ascii="Times New Roman" w:hAnsi="Times New Roman" w:eastAsia="Times New Roman" w:cs="Times New Roman"/>
          <w:sz w:val="24"/>
          <w:szCs w:val="24"/>
        </w:rPr>
      </w:pPr>
      <w:r>
        <w:rPr>
          <w:rFonts w:ascii="Times New Roman" w:hAnsi="Times New Roman" w:cs="Times New Roman"/>
          <w:sz w:val="24"/>
          <w:szCs w:val="24"/>
        </w:rPr>
        <w:t>Memberikan layanan perbankan terbaik yang selalu berorientasi kepada kepuasan nasabah, dan meningkatkan nilai manfaat secara berkesinambungan bagi semua pemangku kepentingan.</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Ina Perdana Tbk</w:t>
      </w:r>
    </w:p>
    <w:p>
      <w:pPr>
        <w:ind w:firstLine="720"/>
        <w:rPr>
          <w:rFonts w:ascii="Times New Roman" w:hAnsi="Times New Roman" w:cs="Times New Roman"/>
          <w:i/>
          <w:sz w:val="24"/>
          <w:szCs w:val="24"/>
        </w:rPr>
      </w:pPr>
      <w:r>
        <w:rPr>
          <w:rFonts w:ascii="Times New Roman" w:hAnsi="Times New Roman" w:cs="Times New Roman"/>
          <w:sz w:val="24"/>
          <w:szCs w:val="24"/>
        </w:rPr>
        <w:t xml:space="preserve">Pada tanggal 9 Februari 1990, Bank Ina berdiri dengan nama PT Bank Ina berdasarkan akta no.3 Notaris Winnie Hadiprodjo, SH pengganti Notaris Kartini Muljadi, SH untuk kemudian mendapatkan pengesahan dari Kementerian Kehakiman dengan surat No. C2-3639HT.01.01.Th. 90 tanggal 23 Juni 1990. Tahun berikutnya Bank mendapatkan izin operasi sebagai Bank Umum berdasarkan Surat Keputusan Menteri Keuangan RI No. 524/KMK.013/1991, tepatnya pada tanggal 3 Juni 1991. Adapun visi dalam </w:t>
      </w:r>
      <w:r>
        <w:rPr>
          <w:rFonts w:ascii="Times New Roman" w:hAnsi="Times New Roman" w:eastAsia="Times New Roman" w:cs="Times New Roman"/>
          <w:color w:val="000000"/>
          <w:sz w:val="24"/>
          <w:szCs w:val="24"/>
        </w:rPr>
        <w:t>Bank Ina Perdana ini adalah</w:t>
      </w:r>
      <w:r>
        <w:rPr>
          <w:rFonts w:ascii="Times New Roman" w:hAnsi="Times New Roman" w:cs="Times New Roman"/>
          <w:sz w:val="24"/>
          <w:szCs w:val="24"/>
        </w:rPr>
        <w:t xml:space="preserve"> menjadi bank ritel yang bermutu dan berkesinambungan serta dipercaya oleh seluruh stakeholders. Sedangkan misi dalam </w:t>
      </w:r>
      <w:r>
        <w:rPr>
          <w:rFonts w:ascii="Times New Roman" w:hAnsi="Times New Roman" w:eastAsia="Times New Roman" w:cs="Times New Roman"/>
          <w:color w:val="000000"/>
          <w:sz w:val="24"/>
          <w:szCs w:val="24"/>
        </w:rPr>
        <w:t xml:space="preserve">Bank Ina Perdana adalah </w:t>
      </w:r>
      <w:r>
        <w:rPr>
          <w:rFonts w:ascii="Times New Roman" w:hAnsi="Times New Roman" w:cs="Times New Roman"/>
          <w:sz w:val="24"/>
          <w:szCs w:val="24"/>
        </w:rPr>
        <w:t xml:space="preserve">meningkatkan kesejahteraan </w:t>
      </w:r>
      <w:r>
        <w:rPr>
          <w:rFonts w:ascii="Times New Roman" w:hAnsi="Times New Roman" w:cs="Times New Roman"/>
          <w:i/>
          <w:sz w:val="24"/>
          <w:szCs w:val="24"/>
        </w:rPr>
        <w:t>stakeholders.</w:t>
      </w:r>
    </w:p>
    <w:p>
      <w:pPr>
        <w:pStyle w:val="23"/>
        <w:numPr>
          <w:ilvl w:val="0"/>
          <w:numId w:val="25"/>
        </w:numP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PT Bank Pembangunan Daerah  Jawa Barat Dan Banten Tbk</w:t>
      </w:r>
    </w:p>
    <w:p>
      <w:pPr>
        <w:ind w:firstLine="720"/>
        <w:rPr>
          <w:rFonts w:ascii="Times New Roman" w:hAnsi="Times New Roman" w:cs="Times New Roman"/>
          <w:sz w:val="24"/>
          <w:szCs w:val="24"/>
        </w:rPr>
      </w:pPr>
      <w:r>
        <w:rPr>
          <w:rFonts w:ascii="Times New Roman" w:hAnsi="Times New Roman" w:cs="Times New Roman"/>
          <w:sz w:val="24"/>
          <w:szCs w:val="24"/>
        </w:rPr>
        <w:t>PT Bank Pembangunan Daerah Jawa Barat dan Banten Tbk (selanjutnya disebut “bank bjb” atau Perseroan) didirikan berdasarkan Peraturan Pemerintah No 33 Tahun 1960 tentang penentuan perusahaan milik Belanda di Indonesia yang dikenakan nasionalisasi. Salah satu perusahaan milik Belanda yang berkedudukan di Bandung yaitu N.V Denis (De Eerste Nederlandsche Indische Shareholding) terkena ketentuan tersebut dan diarahkan kepada Pemerintah Daerah Provinsi Daerah Tingkat I Jawa Barat. Bank telah mulai beroperasi secara komersial pada tanggal 20 Mei 1961.Adapun visi dalam</w:t>
      </w:r>
      <w:r>
        <w:rPr>
          <w:rFonts w:ascii="Times New Roman" w:hAnsi="Times New Roman" w:eastAsia="Times New Roman" w:cs="Times New Roman"/>
          <w:color w:val="000000"/>
          <w:sz w:val="24"/>
          <w:szCs w:val="24"/>
        </w:rPr>
        <w:t xml:space="preserve"> Bank Pembangunan Daerah  Jawa Barat Dan Banten ini adalah </w:t>
      </w:r>
      <w:r>
        <w:rPr>
          <w:rFonts w:ascii="Times New Roman" w:hAnsi="Times New Roman" w:cs="Times New Roman"/>
          <w:sz w:val="24"/>
          <w:szCs w:val="24"/>
        </w:rPr>
        <w:t>Menjadi 10 bank terbesar dan berkinerja baik di Indonesia. Sedangkan misi dalam Pembangunan Daerah Jawa Barat dan Banten ini adalah :</w:t>
      </w:r>
    </w:p>
    <w:p>
      <w:pPr>
        <w:pStyle w:val="23"/>
        <w:numPr>
          <w:ilvl w:val="0"/>
          <w:numId w:val="41"/>
        </w:numPr>
        <w:rPr>
          <w:rFonts w:ascii="Times New Roman" w:hAnsi="Times New Roman" w:cs="Times New Roman"/>
          <w:sz w:val="24"/>
          <w:szCs w:val="24"/>
        </w:rPr>
      </w:pPr>
      <w:r>
        <w:rPr>
          <w:rFonts w:ascii="Times New Roman" w:hAnsi="Times New Roman" w:cs="Times New Roman"/>
          <w:sz w:val="24"/>
          <w:szCs w:val="24"/>
        </w:rPr>
        <w:t>Penggerak dan Pendorong Laju Perekonomian Daerah.</w:t>
      </w:r>
    </w:p>
    <w:p>
      <w:pPr>
        <w:pStyle w:val="23"/>
        <w:numPr>
          <w:ilvl w:val="0"/>
          <w:numId w:val="41"/>
        </w:numPr>
        <w:rPr>
          <w:rFonts w:ascii="Times New Roman" w:hAnsi="Times New Roman" w:cs="Times New Roman"/>
          <w:sz w:val="24"/>
          <w:szCs w:val="24"/>
        </w:rPr>
      </w:pPr>
      <w:r>
        <w:rPr>
          <w:rFonts w:ascii="Times New Roman" w:hAnsi="Times New Roman" w:cs="Times New Roman"/>
          <w:sz w:val="24"/>
          <w:szCs w:val="24"/>
        </w:rPr>
        <w:t>Melaksanakan Penyimpanan Uang Daerah.</w:t>
      </w:r>
    </w:p>
    <w:p>
      <w:pPr>
        <w:pStyle w:val="23"/>
        <w:numPr>
          <w:ilvl w:val="0"/>
          <w:numId w:val="41"/>
        </w:numPr>
        <w:rPr>
          <w:rFonts w:ascii="Times New Roman" w:hAnsi="Times New Roman" w:cs="Times New Roman"/>
          <w:sz w:val="24"/>
          <w:szCs w:val="24"/>
        </w:rPr>
      </w:pPr>
      <w:r>
        <w:rPr>
          <w:rFonts w:ascii="Times New Roman" w:hAnsi="Times New Roman" w:cs="Times New Roman"/>
          <w:sz w:val="24"/>
          <w:szCs w:val="24"/>
        </w:rPr>
        <w:t>Salah Satu Sumber Pendapatan Asli Daerah.</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Pembangunan Daerah Jawa Timur Tbk</w:t>
      </w:r>
    </w:p>
    <w:p>
      <w:pPr>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PT Bank Pembangunan Daerah Jawa Timur Tbk atau Bank Jatim, berdiri pada tanggal 17 Agustus 1961 di Surabaya dengan nama PT Bank Pembangunan Daerah Djawa Timur berdasarkan Akta Notaris Anwar Mahajudin Nomor  91 tanggal 17 Agustus 1961 serta diperkuat oleh Surat Keputusan Menteri Keuangan Nomor BUM.9-4-5 tanggal 15 Agustus 1961. Kemudian status Bank Jatim sebagai Bank Pembangunan Daerah berubah dari Perseroan Terbatas menjadi Badan Usaha Milik Daerah berdasarkan Undang-Undang Nomor 13 Tahun 1962 tentang Ketentuan-Ketentuan Pokok Bank Pembangunan Daerah dan Undang-Undang Nomor 14 Tahun 1967 tentang Pokok-Pokok Perbankan dan disempurnakan melalui Peraturan Daerah Provinsi Daerah Tingkat I Jawa Timur Nomor 2 Tahun 1976 tanggal 10 Juli 1976. Kemudian status Bank Pembangunan Daerah Jawa Timur meningkat dari Bank Umum menjadi Bank Umum Devisa, peningkatan satus Bank Jatim ditetapkan melalui Surat Keputusan Direksi Bank Indonesia Nomor 23/28/KEP/ DIR tanggal 2 Agustus 1990. Adapun visi dalam </w:t>
      </w:r>
      <w:r>
        <w:rPr>
          <w:rFonts w:ascii="Times New Roman" w:hAnsi="Times New Roman" w:eastAsia="Times New Roman" w:cs="Times New Roman"/>
          <w:color w:val="000000"/>
          <w:sz w:val="24"/>
          <w:szCs w:val="24"/>
        </w:rPr>
        <w:t xml:space="preserve">Bank Pembangunan Daerah Jawa Timur </w:t>
      </w:r>
      <w:r>
        <w:rPr>
          <w:rFonts w:ascii="Times New Roman" w:hAnsi="Times New Roman" w:cs="Times New Roman"/>
          <w:sz w:val="24"/>
          <w:szCs w:val="24"/>
        </w:rPr>
        <w:t xml:space="preserve">Menjadi Bank yang berkontribusi signifikan bagi pertumbuhan ekonomi daerah secara berkesinambungan serta menjadi bank yang berdaya saing tinggi dan kuat artinya Bank memiliki keunggulan kompetitif </w:t>
      </w:r>
      <w:r>
        <w:rPr>
          <w:rFonts w:ascii="Times New Roman" w:hAnsi="Times New Roman" w:cs="Times New Roman"/>
          <w:i/>
          <w:sz w:val="24"/>
          <w:szCs w:val="24"/>
        </w:rPr>
        <w:t xml:space="preserve">(competitive advantage) </w:t>
      </w:r>
      <w:r>
        <w:rPr>
          <w:rFonts w:ascii="Times New Roman" w:hAnsi="Times New Roman" w:cs="Times New Roman"/>
          <w:sz w:val="24"/>
          <w:szCs w:val="24"/>
        </w:rPr>
        <w:t xml:space="preserve">sehingga mampu bersaing dan bahkan mengungguli bank-bank lain sedangkan kuat berarti sehat dan tangguh baik dari sisi permodalan rentabilitas maupun kualitas tata kelola dan manajemen risiko. Sedangkan misi dalam </w:t>
      </w:r>
      <w:r>
        <w:rPr>
          <w:rFonts w:ascii="Times New Roman" w:hAnsi="Times New Roman" w:eastAsia="Times New Roman" w:cs="Times New Roman"/>
          <w:color w:val="000000"/>
          <w:sz w:val="24"/>
          <w:szCs w:val="24"/>
        </w:rPr>
        <w:t>Bank Pembangunan Daerah Jawa Timur ini adalah :</w:t>
      </w:r>
    </w:p>
    <w:p>
      <w:pPr>
        <w:pStyle w:val="23"/>
        <w:numPr>
          <w:ilvl w:val="0"/>
          <w:numId w:val="42"/>
        </w:numPr>
        <w:rPr>
          <w:rFonts w:ascii="Times New Roman" w:hAnsi="Times New Roman" w:cs="Times New Roman"/>
          <w:sz w:val="24"/>
          <w:szCs w:val="24"/>
        </w:rPr>
      </w:pPr>
      <w:r>
        <w:rPr>
          <w:rFonts w:ascii="Times New Roman" w:hAnsi="Times New Roman" w:cs="Times New Roman"/>
          <w:sz w:val="24"/>
          <w:szCs w:val="24"/>
        </w:rPr>
        <w:t>Meningkatkan pangsa pasar</w:t>
      </w:r>
    </w:p>
    <w:p>
      <w:pPr>
        <w:pStyle w:val="23"/>
        <w:numPr>
          <w:ilvl w:val="0"/>
          <w:numId w:val="42"/>
        </w:numPr>
        <w:rPr>
          <w:rFonts w:ascii="Times New Roman" w:hAnsi="Times New Roman" w:cs="Times New Roman"/>
          <w:sz w:val="24"/>
          <w:szCs w:val="24"/>
        </w:rPr>
      </w:pPr>
      <w:r>
        <w:rPr>
          <w:rFonts w:ascii="Times New Roman" w:hAnsi="Times New Roman" w:cs="Times New Roman"/>
          <w:sz w:val="24"/>
          <w:szCs w:val="24"/>
        </w:rPr>
        <w:t>Meningkatkan profesionalisme, memiliki integritas yang tinggi dan berorientasi pada kebutuhan pasar</w:t>
      </w:r>
    </w:p>
    <w:p>
      <w:pPr>
        <w:pStyle w:val="23"/>
        <w:numPr>
          <w:ilvl w:val="0"/>
          <w:numId w:val="42"/>
        </w:numPr>
        <w:rPr>
          <w:rFonts w:ascii="Times New Roman" w:hAnsi="Times New Roman" w:cs="Times New Roman"/>
          <w:sz w:val="24"/>
          <w:szCs w:val="24"/>
        </w:rPr>
      </w:pPr>
      <w:r>
        <w:rPr>
          <w:rFonts w:ascii="Times New Roman" w:hAnsi="Times New Roman" w:cs="Times New Roman"/>
          <w:sz w:val="24"/>
          <w:szCs w:val="24"/>
        </w:rPr>
        <w:t>Memberikan nilai yang optimal bagi Pemangku Kepentingan (stakeholder) dan Pemegang Saham (shareholder)</w:t>
      </w:r>
    </w:p>
    <w:p>
      <w:pPr>
        <w:pStyle w:val="23"/>
        <w:numPr>
          <w:ilvl w:val="0"/>
          <w:numId w:val="42"/>
        </w:numPr>
        <w:rPr>
          <w:rFonts w:ascii="Times New Roman" w:hAnsi="Times New Roman" w:cs="Times New Roman"/>
          <w:sz w:val="24"/>
          <w:szCs w:val="24"/>
        </w:rPr>
      </w:pPr>
      <w:r>
        <w:rPr>
          <w:rFonts w:ascii="Times New Roman" w:hAnsi="Times New Roman" w:cs="Times New Roman"/>
          <w:sz w:val="24"/>
          <w:szCs w:val="24"/>
        </w:rPr>
        <w:t>Memfasilitasi pengembangan Usaha Mikro Kecil dan Menengah</w:t>
      </w:r>
    </w:p>
    <w:p>
      <w:pPr>
        <w:pStyle w:val="23"/>
        <w:numPr>
          <w:ilvl w:val="0"/>
          <w:numId w:val="42"/>
        </w:numPr>
        <w:rPr>
          <w:rFonts w:ascii="Times New Roman" w:hAnsi="Times New Roman" w:cs="Times New Roman"/>
          <w:sz w:val="24"/>
          <w:szCs w:val="24"/>
        </w:rPr>
      </w:pPr>
      <w:r>
        <w:rPr>
          <w:rFonts w:ascii="Times New Roman" w:hAnsi="Times New Roman" w:cs="Times New Roman"/>
          <w:sz w:val="24"/>
          <w:szCs w:val="24"/>
        </w:rPr>
        <w:t>Mendorong pertumbuhan ekonomi Jawa Timur.</w:t>
      </w:r>
    </w:p>
    <w:p>
      <w:pPr>
        <w:pStyle w:val="23"/>
        <w:numPr>
          <w:ilvl w:val="0"/>
          <w:numId w:val="25"/>
        </w:numPr>
        <w:rPr>
          <w:rFonts w:ascii="Times New Roman" w:hAnsi="Times New Roman" w:cs="Times New Roman"/>
          <w:b/>
          <w:sz w:val="24"/>
          <w:szCs w:val="24"/>
        </w:rPr>
      </w:pPr>
      <w:r>
        <w:rPr>
          <w:rFonts w:ascii="Times New Roman" w:hAnsi="Times New Roman" w:eastAsia="Times New Roman" w:cs="Times New Roman"/>
          <w:b/>
          <w:color w:val="000000"/>
          <w:sz w:val="24"/>
          <w:szCs w:val="24"/>
        </w:rPr>
        <w:t>PT Bank Qnb Indonesia Tbk</w:t>
      </w:r>
    </w:p>
    <w:p>
      <w:pPr>
        <w:tabs>
          <w:tab w:val="left" w:pos="2865"/>
        </w:tabs>
        <w:ind w:firstLine="720"/>
        <w:rPr>
          <w:rFonts w:ascii="Times New Roman" w:hAnsi="Times New Roman" w:cs="Times New Roman"/>
          <w:sz w:val="24"/>
          <w:szCs w:val="24"/>
        </w:rPr>
      </w:pPr>
      <w:r>
        <w:rPr>
          <w:rStyle w:val="25"/>
          <w:rFonts w:ascii="Times New Roman" w:hAnsi="Times New Roman" w:cs="Times New Roman"/>
          <w:bCs/>
          <w:sz w:val="24"/>
          <w:szCs w:val="24"/>
        </w:rPr>
        <w:t>Bank QNB</w:t>
      </w:r>
      <w:r>
        <w:rPr>
          <w:rStyle w:val="25"/>
          <w:rFonts w:ascii="Times New Roman" w:hAnsi="Times New Roman" w:cs="Times New Roman"/>
          <w:sz w:val="24"/>
          <w:szCs w:val="24"/>
        </w:rPr>
        <w:t xml:space="preserve"> Kesawan (dulunya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Kesawan) adalah perseroan terbatas di </w:t>
      </w:r>
      <w:r>
        <w:rPr>
          <w:rStyle w:val="25"/>
          <w:rFonts w:ascii="Times New Roman" w:hAnsi="Times New Roman" w:cs="Times New Roman"/>
          <w:bCs/>
          <w:sz w:val="24"/>
          <w:szCs w:val="24"/>
        </w:rPr>
        <w:t>Indonesia</w:t>
      </w:r>
      <w:r>
        <w:rPr>
          <w:rStyle w:val="25"/>
          <w:rFonts w:ascii="Times New Roman" w:hAnsi="Times New Roman" w:cs="Times New Roman"/>
          <w:sz w:val="24"/>
          <w:szCs w:val="24"/>
        </w:rPr>
        <w:t xml:space="preserve"> yang bergerak di bidang jasa keuangan </w:t>
      </w:r>
      <w:r>
        <w:rPr>
          <w:rStyle w:val="25"/>
          <w:rFonts w:ascii="Times New Roman" w:hAnsi="Times New Roman" w:cs="Times New Roman"/>
          <w:bCs/>
          <w:sz w:val="24"/>
          <w:szCs w:val="24"/>
        </w:rPr>
        <w:t>perbankan</w:t>
      </w:r>
      <w:r>
        <w:rPr>
          <w:rStyle w:val="25"/>
          <w:rFonts w:ascii="Times New Roman" w:hAnsi="Times New Roman" w:cs="Times New Roman"/>
          <w:sz w:val="24"/>
          <w:szCs w:val="24"/>
        </w:rPr>
        <w:t xml:space="preserve">.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ini merupakan anak perusahaan dari Qatar National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w:t>
      </w:r>
      <w:r>
        <w:rPr>
          <w:rStyle w:val="25"/>
          <w:rFonts w:ascii="Times New Roman" w:hAnsi="Times New Roman" w:cs="Times New Roman"/>
          <w:bCs/>
          <w:sz w:val="24"/>
          <w:szCs w:val="24"/>
        </w:rPr>
        <w:t>QNB</w:t>
      </w:r>
      <w:r>
        <w:rPr>
          <w:rStyle w:val="25"/>
          <w:rFonts w:ascii="Times New Roman" w:hAnsi="Times New Roman" w:cs="Times New Roman"/>
          <w:sz w:val="24"/>
          <w:szCs w:val="24"/>
        </w:rPr>
        <w:t xml:space="preserve"> Group) yang didirikan pada tahun 1964 sebagai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umum milik negara pertama di Qatar</w:t>
      </w:r>
      <w:r>
        <w:rPr>
          <w:rStyle w:val="25"/>
          <w:rFonts w:ascii="Times New Roman" w:hAnsi="Times New Roman" w:cs="Times New Roman"/>
          <w:b/>
          <w:sz w:val="24"/>
          <w:szCs w:val="24"/>
        </w:rPr>
        <w:t xml:space="preserve">. </w:t>
      </w:r>
      <w:r>
        <w:rPr>
          <w:rStyle w:val="25"/>
          <w:rFonts w:ascii="Times New Roman" w:hAnsi="Times New Roman" w:cs="Times New Roman"/>
          <w:sz w:val="24"/>
          <w:szCs w:val="24"/>
        </w:rPr>
        <w:t xml:space="preserve">Adapun visi dalam </w:t>
      </w:r>
      <w:r>
        <w:rPr>
          <w:rFonts w:ascii="Times New Roman" w:hAnsi="Times New Roman" w:eastAsia="Times New Roman" w:cs="Times New Roman"/>
          <w:color w:val="000000"/>
          <w:sz w:val="24"/>
          <w:szCs w:val="24"/>
        </w:rPr>
        <w:t xml:space="preserve">Bank Qnb Indonesia </w:t>
      </w:r>
      <w:r>
        <w:rPr>
          <w:rFonts w:ascii="Times New Roman" w:hAnsi="Times New Roman" w:cs="Times New Roman"/>
          <w:sz w:val="24"/>
          <w:szCs w:val="24"/>
        </w:rPr>
        <w:t xml:space="preserve">menjadi mitra bagi para pemangku kepentingan dan terus tumbuh bersama. Sedangkan misi dalam </w:t>
      </w:r>
      <w:r>
        <w:rPr>
          <w:rFonts w:ascii="Times New Roman" w:hAnsi="Times New Roman" w:eastAsia="Times New Roman" w:cs="Times New Roman"/>
          <w:color w:val="000000"/>
          <w:sz w:val="24"/>
          <w:szCs w:val="24"/>
        </w:rPr>
        <w:t>Bank Qnb Indonesia</w:t>
      </w:r>
      <w:r>
        <w:rPr>
          <w:rFonts w:ascii="Times New Roman" w:hAnsi="Times New Roman" w:cs="Times New Roman"/>
          <w:sz w:val="24"/>
          <w:szCs w:val="24"/>
        </w:rPr>
        <w:t xml:space="preserve"> adalah :</w:t>
      </w:r>
    </w:p>
    <w:p>
      <w:pPr>
        <w:pStyle w:val="23"/>
        <w:numPr>
          <w:ilvl w:val="0"/>
          <w:numId w:val="43"/>
        </w:numPr>
        <w:tabs>
          <w:tab w:val="left" w:pos="2865"/>
        </w:tabs>
        <w:rPr>
          <w:rFonts w:ascii="Times New Roman" w:hAnsi="Times New Roman" w:cs="Times New Roman"/>
          <w:sz w:val="24"/>
          <w:szCs w:val="24"/>
        </w:rPr>
      </w:pPr>
      <w:r>
        <w:rPr>
          <w:rFonts w:ascii="Times New Roman" w:hAnsi="Times New Roman" w:cs="Times New Roman"/>
          <w:sz w:val="24"/>
          <w:szCs w:val="24"/>
        </w:rPr>
        <w:t>menyediakan produk dan pelayanan perbankan yang unggul, didukung oleh teknologi dan jaringan internasional yang menghasilkan peningkatan manfaat bagi para pemangku kepentingan untuk menjadi institusi keuangan pilihan.</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Maspion Indonesia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PT Bank Maspion Indonesia Tbk didirikan berdasarkan Akta No. 68 tanggal 6 November 1989 juncto Akta Perubahan No. 49 tanggal 5 Desember 1989, keduanya dibuat di hadapan Soetjipto, S.H., Notaris di Surabaya. Setelah memperoleh ijin dari Menteri Keuangan Republik Indonesia pada tanggal 30 Juli 1990, Bank Maspion mulai beroperasi secara komersial sebagai bank umum pada 31 Agustus 1990 dan pada 28 Juli 1995 Bank Maspion menyandang status sebagai Bank Devisa. Adapun visi dalam </w:t>
      </w:r>
      <w:r>
        <w:rPr>
          <w:rFonts w:ascii="Times New Roman" w:hAnsi="Times New Roman" w:eastAsia="Times New Roman" w:cs="Times New Roman"/>
          <w:color w:val="000000"/>
          <w:sz w:val="24"/>
          <w:szCs w:val="24"/>
        </w:rPr>
        <w:t xml:space="preserve">Bank Maspion Indonesia ini adalah </w:t>
      </w:r>
      <w:r>
        <w:rPr>
          <w:rFonts w:ascii="Times New Roman" w:hAnsi="Times New Roman" w:cs="Times New Roman"/>
          <w:sz w:val="24"/>
          <w:szCs w:val="24"/>
        </w:rPr>
        <w:t xml:space="preserve"> Menjadi lembaga keuangan yang bertumbuh bersama nasabah dengan menyediakan solusi layanan perbankan berbasis teknologi dan memberikan nilai tambah kepada stakeholders. Sedangkan misi dalam </w:t>
      </w:r>
      <w:r>
        <w:rPr>
          <w:rFonts w:ascii="Times New Roman" w:hAnsi="Times New Roman" w:eastAsia="Times New Roman" w:cs="Times New Roman"/>
          <w:color w:val="000000"/>
          <w:sz w:val="24"/>
          <w:szCs w:val="24"/>
        </w:rPr>
        <w:t>Bank Maspion Indonesia ini adalah :</w:t>
      </w:r>
    </w:p>
    <w:p>
      <w:pPr>
        <w:pStyle w:val="23"/>
        <w:numPr>
          <w:ilvl w:val="0"/>
          <w:numId w:val="44"/>
        </w:numPr>
        <w:tabs>
          <w:tab w:val="left" w:pos="2865"/>
        </w:tabs>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Mampu bertumbuh bersama nasabah secara berkesinambungan.</w:t>
      </w:r>
    </w:p>
    <w:p>
      <w:pPr>
        <w:pStyle w:val="23"/>
        <w:numPr>
          <w:ilvl w:val="0"/>
          <w:numId w:val="44"/>
        </w:numPr>
        <w:tabs>
          <w:tab w:val="left" w:pos="2865"/>
        </w:tabs>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Memahami beragam kebutuhan nasabah perorangan, perusahaan serta komunitas dalam bertransaksi dengan cepat dan nyaman  melalui layanan perbankan digital.</w:t>
      </w:r>
    </w:p>
    <w:p>
      <w:pPr>
        <w:pStyle w:val="23"/>
        <w:numPr>
          <w:ilvl w:val="0"/>
          <w:numId w:val="44"/>
        </w:numPr>
        <w:tabs>
          <w:tab w:val="left" w:pos="2865"/>
        </w:tabs>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Meningkatkan kualitas sumber daya manusia agar selaras dengan perkembangan teknologi.</w:t>
      </w:r>
    </w:p>
    <w:p>
      <w:pPr>
        <w:pStyle w:val="23"/>
        <w:numPr>
          <w:ilvl w:val="0"/>
          <w:numId w:val="44"/>
        </w:numPr>
        <w:tabs>
          <w:tab w:val="left" w:pos="2865"/>
        </w:tabs>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Meningkatkan pelaksanaan kepatuhan,manajemen risiko dan tata kelola agar dapat memberikan nilai tambah kepada stakeholder</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Mandiri (Persero)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Bank Mandiri (Persero) Tbk. (selanjutnya disebut “Bank Mandiri” atau “Perseroan”) didirikan pada tanggal 2 Oktober 1998 di Negara Republik Indonesia dengan akta notaris Sutjipto, S.H., No. 10, berdasarkan Peraturan Pemerintah No. 75 Tahun 1998 tanggal 1 Oktober 1998. Akta pendirian dimaksud telah disahkan oleh Menteri Kehakiman Republik Indonesia berdasarkan Surat Keputusan No. C2-16561.HT.01.01.TH.98 tanggal 2 Oktober 1998, serta diumumkan pada Tambahan No. 6859 dalam Berita Negara Republik Indonesia No. 97 tanggal 4 Desember 1998. Adapun visi dalam </w:t>
      </w:r>
      <w:r>
        <w:rPr>
          <w:rFonts w:ascii="Times New Roman" w:hAnsi="Times New Roman" w:eastAsia="Times New Roman" w:cs="Times New Roman"/>
          <w:color w:val="000000"/>
          <w:sz w:val="24"/>
          <w:szCs w:val="24"/>
        </w:rPr>
        <w:t>Bank Mandiri ini adalah :</w:t>
      </w:r>
    </w:p>
    <w:p>
      <w:pPr>
        <w:pStyle w:val="23"/>
        <w:numPr>
          <w:ilvl w:val="0"/>
          <w:numId w:val="4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Komitmen membangun hubungan jangka panjang yang didasari atas kepercayaan baik dengan nasabah bisnis maupun perseorangan. Bank Mandiri melayani seluruh nasabah dengan standar layanan internasional melalui penyediaan solusi keuangan yang inovatif. Bank Mandiri ingin dikenal karena kinerja, sumber daya manusia dan kerjasama tim yang terbaik.</w:t>
      </w:r>
    </w:p>
    <w:p>
      <w:pPr>
        <w:pStyle w:val="23"/>
        <w:numPr>
          <w:ilvl w:val="0"/>
          <w:numId w:val="4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Mengambil peran aktif dalam mendorong pertumbuhan jangka panjang Indonesia dan selalu menghasilkan imbal balik yang tinggi secara konsisten bagi pemegang saham</w:t>
      </w:r>
    </w:p>
    <w:p>
      <w:pPr>
        <w:pStyle w:val="23"/>
        <w:tabs>
          <w:tab w:val="left" w:pos="2865"/>
        </w:tabs>
        <w:ind w:firstLine="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Sedangkan Misi dalam </w:t>
      </w:r>
      <w:r>
        <w:rPr>
          <w:rFonts w:ascii="Times New Roman" w:hAnsi="Times New Roman" w:eastAsia="Times New Roman" w:cs="Times New Roman"/>
          <w:color w:val="000000"/>
          <w:sz w:val="24"/>
          <w:szCs w:val="24"/>
        </w:rPr>
        <w:t>Bank Mandiri ini adalah :</w:t>
      </w:r>
    </w:p>
    <w:p>
      <w:pPr>
        <w:pStyle w:val="23"/>
        <w:numPr>
          <w:ilvl w:val="0"/>
          <w:numId w:val="46"/>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Berorientasi pada pemenuhan kebutuhan pasar</w:t>
      </w:r>
    </w:p>
    <w:p>
      <w:pPr>
        <w:pStyle w:val="23"/>
        <w:numPr>
          <w:ilvl w:val="0"/>
          <w:numId w:val="4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Memprioritaskan kepentingan nasabah.</w:t>
      </w:r>
    </w:p>
    <w:p>
      <w:pPr>
        <w:pStyle w:val="23"/>
        <w:numPr>
          <w:ilvl w:val="0"/>
          <w:numId w:val="4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pelayanan yang terbaik dengan membangun sikap profesional dan bersahabat.</w:t>
      </w:r>
    </w:p>
    <w:p>
      <w:pPr>
        <w:pStyle w:val="23"/>
        <w:numPr>
          <w:ilvl w:val="0"/>
          <w:numId w:val="4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Menawarkan produk-produk yang kompetitif dan terjamin.</w:t>
      </w:r>
    </w:p>
    <w:p>
      <w:pPr>
        <w:pStyle w:val="23"/>
        <w:numPr>
          <w:ilvl w:val="0"/>
          <w:numId w:val="46"/>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Mengembangkan sumber daya yang profesional</w:t>
      </w:r>
    </w:p>
    <w:p>
      <w:pPr>
        <w:pStyle w:val="23"/>
        <w:numPr>
          <w:ilvl w:val="0"/>
          <w:numId w:val="48"/>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kesempatan kerja yang sama kepada siapapun</w:t>
      </w:r>
    </w:p>
    <w:p>
      <w:pPr>
        <w:pStyle w:val="23"/>
        <w:numPr>
          <w:ilvl w:val="0"/>
          <w:numId w:val="48"/>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Merekrut, melatih, dan mengembangkan sumber daya manusia berdasarkan bakat dan kemampuan yang dimiliki.</w:t>
      </w:r>
    </w:p>
    <w:p>
      <w:pPr>
        <w:pStyle w:val="23"/>
        <w:numPr>
          <w:ilvl w:val="0"/>
          <w:numId w:val="48"/>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penghargaan dan promosi atas dasar prestasi dan dedikasi.</w:t>
      </w:r>
    </w:p>
    <w:p>
      <w:pPr>
        <w:pStyle w:val="23"/>
        <w:numPr>
          <w:ilvl w:val="0"/>
          <w:numId w:val="46"/>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keuntungan maksimal kepada stakeholders.</w:t>
      </w:r>
    </w:p>
    <w:p>
      <w:pPr>
        <w:pStyle w:val="23"/>
        <w:numPr>
          <w:ilvl w:val="0"/>
          <w:numId w:val="49"/>
        </w:numPr>
        <w:tabs>
          <w:tab w:val="left" w:pos="2865"/>
        </w:tabs>
        <w:ind w:left="1080"/>
        <w:rPr>
          <w:rFonts w:ascii="Times New Roman" w:hAnsi="Times New Roman" w:eastAsia="Times New Roman" w:cs="Times New Roman"/>
          <w:color w:val="000000"/>
          <w:sz w:val="24"/>
          <w:szCs w:val="24"/>
        </w:rPr>
      </w:pPr>
      <w:r>
        <w:rPr>
          <w:rFonts w:ascii="Times New Roman" w:hAnsi="Times New Roman" w:cs="Times New Roman"/>
          <w:sz w:val="24"/>
          <w:szCs w:val="24"/>
        </w:rPr>
        <w:t>Memberikan keuntungan yang maksimum kepada semua pihak yang berkepentingan.</w:t>
      </w:r>
    </w:p>
    <w:p>
      <w:pPr>
        <w:pStyle w:val="23"/>
        <w:numPr>
          <w:ilvl w:val="0"/>
          <w:numId w:val="49"/>
        </w:numPr>
        <w:tabs>
          <w:tab w:val="left" w:pos="2865"/>
        </w:tabs>
        <w:ind w:left="1080"/>
        <w:rPr>
          <w:rFonts w:ascii="Times New Roman" w:hAnsi="Times New Roman" w:eastAsia="Times New Roman" w:cs="Times New Roman"/>
          <w:color w:val="000000"/>
          <w:sz w:val="24"/>
          <w:szCs w:val="24"/>
        </w:rPr>
      </w:pPr>
      <w:r>
        <w:rPr>
          <w:rFonts w:ascii="Times New Roman" w:hAnsi="Times New Roman" w:cs="Times New Roman"/>
          <w:sz w:val="24"/>
          <w:szCs w:val="24"/>
        </w:rPr>
        <w:t>Menjamin pertumbuhan dan peningkatan laba yang berkesinambungan</w:t>
      </w:r>
    </w:p>
    <w:p>
      <w:pPr>
        <w:pStyle w:val="23"/>
        <w:numPr>
          <w:ilvl w:val="0"/>
          <w:numId w:val="46"/>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Melaksanakan manajemen terbuka</w:t>
      </w:r>
    </w:p>
    <w:p>
      <w:pPr>
        <w:pStyle w:val="23"/>
        <w:numPr>
          <w:ilvl w:val="0"/>
          <w:numId w:val="50"/>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Memiliki komitmen kerja yang tinggi.</w:t>
      </w:r>
    </w:p>
    <w:p>
      <w:pPr>
        <w:pStyle w:val="23"/>
        <w:numPr>
          <w:ilvl w:val="0"/>
          <w:numId w:val="50"/>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Melaksanakan manajemen terbuka dan kerjasama yang efektif.</w:t>
      </w:r>
    </w:p>
    <w:p>
      <w:pPr>
        <w:pStyle w:val="23"/>
        <w:numPr>
          <w:ilvl w:val="0"/>
          <w:numId w:val="46"/>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Peduli terhadap kepentingan masyarakat dan Lingkungan Mempertimbangkan kepentingan masyarakat dan lingkungan dalam setiap pengambilan keputusan.Untuk mendukung agar Bank Mandiri bertransformasi menjadi lembaga perbankan yang memperhatikan aspek Lingkungan, Sosial, dan Tata Kelola (LST) dalam operasinya, pada tanggal 28 November 2018 Bank Mandiri telah melakukan penyesuaian ruang lingkup Misi dengan memasukkan unsur-unsur LST dalam konteks berkelanjutan sebagai berikut:</w:t>
      </w:r>
    </w:p>
    <w:p>
      <w:pPr>
        <w:pStyle w:val="23"/>
        <w:numPr>
          <w:ilvl w:val="0"/>
          <w:numId w:val="51"/>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Menjalankan operasi dan tata kelola perusahaan yangbaik dalam operasi dan kegiatan perbankan, dan</w:t>
      </w:r>
    </w:p>
    <w:p>
      <w:pPr>
        <w:pStyle w:val="23"/>
        <w:numPr>
          <w:ilvl w:val="0"/>
          <w:numId w:val="51"/>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Berkontribusi terhadap pertumbuhan yang berkelanjutan dengan mempertimbangkan kebutuhan ekonomi, lingkungan dan sosial.</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Bumi Arta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Bank Bumi Arta Tbk yang semula bernama PT Bank Bumi Arta Indonesia pertama kali didirikan di Jakarta pada tanggal 3 Maret 1967 dengan Akta No. 4 Notaris Soeleman Ardjasasmita SH yang telah disahkan oleh Menteri Kehakiman Republik Indonesia berdasarkan Penetapan Menteri Kehakiman Republik No. J.A.5/25/6 tanggal 25 April 1967, serta telah diumumkan pada Tambahan Berita Negara Republik Indonesia No. 41 tanggal 23 Mei 1967. PT Bank Bumi Arta Tbk selanjutnya disebut Bank Bumi Arta, memperoleh izin usaha sebagai Bank Umum berdasarkan Surat Keputusan Menteri Keuangan No. D.15.6.1.2.29 tanggal 28 Maret 1967. Adapun Visi dalam Bank Bumi Arta ini adalah Menjadi Bank terpercaya yang berlandaskan prinsip kehati-hatian dalam memberikan pelayanan prima sehingga dapat memberikan nilai tambah bagi stakeholders. Sedangkan misi dalam Bank Bumi Arta ini adalah :</w:t>
      </w:r>
    </w:p>
    <w:p>
      <w:pPr>
        <w:pStyle w:val="23"/>
        <w:numPr>
          <w:ilvl w:val="0"/>
          <w:numId w:val="52"/>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Mengembangkan usaha perbankan secara optimal dengan berbagai sumber daya dalam batas-batas risiko yang dapat diterima</w:t>
      </w:r>
    </w:p>
    <w:p>
      <w:pPr>
        <w:pStyle w:val="23"/>
        <w:numPr>
          <w:ilvl w:val="0"/>
          <w:numId w:val="52"/>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Melaksanakan operasi Bank dengan berprinsip Good Corporate Governance dan Risk Management</w:t>
      </w:r>
    </w:p>
    <w:p>
      <w:pPr>
        <w:pStyle w:val="23"/>
        <w:numPr>
          <w:ilvl w:val="0"/>
          <w:numId w:val="52"/>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Memfungsikan organisasi secara professional dengan melakukan proses pengembangan sumber daya manusia yang berkelanjutan, sehingga dapat memberikan pelayanan prima yang konsisten dalam kegiatan bisnis yang bertaraf nasional maupun internasional.</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Cimb Niaga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PT Bank CIMB Niaga Tbk selanjutnya disebut “CIMB Niaga” atau “Bank” didirikan pada tanggal 26 September 1955 berdasarkan Akta Pendirian Perusahaan No. 90 yang dibuat di hadapan Raden Meester Soewandi, Notaris di Jakarta tanggal 26 September 1955 dengan nama PT Bank Niaga dan diubah dengan akta dari Notaris yang sama yaitu Akta No. 9 tanggal 4 November 1955. Akta Pendirian Perusahaan tersebut mendapat pengesahan dari Menteri Kehakiman Republik Indonesia (sekarang Menteri Hukum dan Hak Asasi Manusia) dengan surat keputusan No. J.A.5/110/15 tanggal 1 Desember 1955 dan diumumkan dalam Berita Negara Republik Indonesia No. 71 tanggal 4 September 1956, Tambahan Berita Negara No. 729/1956. Adapun visi </w:t>
      </w:r>
      <w:r>
        <w:rPr>
          <w:rFonts w:ascii="Times New Roman" w:hAnsi="Times New Roman" w:eastAsia="Times New Roman" w:cs="Times New Roman"/>
          <w:color w:val="000000"/>
          <w:sz w:val="24"/>
          <w:szCs w:val="24"/>
        </w:rPr>
        <w:t xml:space="preserve">Bank Cimb Niaga ini adalah </w:t>
      </w:r>
      <w:r>
        <w:rPr>
          <w:rFonts w:ascii="Times New Roman" w:hAnsi="Times New Roman" w:cs="Times New Roman"/>
          <w:sz w:val="24"/>
          <w:szCs w:val="24"/>
        </w:rPr>
        <w:t>:</w:t>
      </w:r>
    </w:p>
    <w:p>
      <w:pPr>
        <w:pStyle w:val="23"/>
        <w:numPr>
          <w:ilvl w:val="0"/>
          <w:numId w:val="53"/>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Menjadi pelaku perbankan terkemuka di Indonesia dan regional yang memiliki kekhasan dalam budaya layanan, proses dan sumber daya manusia SDM dengan proposisi perbankan universal yang kuat di tingkat domestik, dan menjadi model percontohan dalam penerapan dual system banking di Indonesia</w:t>
      </w:r>
    </w:p>
    <w:p>
      <w:pPr>
        <w:pStyle w:val="23"/>
        <w:numPr>
          <w:ilvl w:val="0"/>
          <w:numId w:val="53"/>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Menjadikan Indonesia sebagai basis perkembangan bisnis perbankan sebagai bagian dari visi PT Bank CIMB Niaga Tbk, CIMB Islamic dan Grup CIMB,  unggul dalam pengembangan bisnis dan akselerasi agenda integrasi ASEAN menuju bank umum terkemuka sebagai anchor dalam pengembangan perbankan di Indonesia melalui inovasi berkelanjutan, layanan konsumen berkualitas, dan praktik terbaik </w:t>
      </w:r>
      <w:r>
        <w:rPr>
          <w:rFonts w:ascii="Times New Roman" w:hAnsi="Times New Roman" w:cs="Times New Roman"/>
          <w:i/>
          <w:sz w:val="24"/>
          <w:szCs w:val="24"/>
        </w:rPr>
        <w:t xml:space="preserve">best practice. </w:t>
      </w:r>
      <w:r>
        <w:rPr>
          <w:rFonts w:ascii="Times New Roman" w:hAnsi="Times New Roman" w:cs="Times New Roman"/>
          <w:sz w:val="24"/>
          <w:szCs w:val="24"/>
        </w:rPr>
        <w:t xml:space="preserve">Sedangkan misi dalam </w:t>
      </w:r>
      <w:r>
        <w:rPr>
          <w:rFonts w:ascii="Times New Roman" w:hAnsi="Times New Roman" w:eastAsia="Times New Roman" w:cs="Times New Roman"/>
          <w:color w:val="000000"/>
          <w:sz w:val="24"/>
          <w:szCs w:val="24"/>
        </w:rPr>
        <w:t>Bank Cimb Niaga ini adalah :</w:t>
      </w:r>
    </w:p>
    <w:p>
      <w:pPr>
        <w:pStyle w:val="23"/>
        <w:numPr>
          <w:ilvl w:val="0"/>
          <w:numId w:val="54"/>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Fokus kepada Visi 2015, yaitu akselerasi Pengembangan Bisnis Perbankan di lingkungan CIMB Niaga, CIMB Islamic, dan Grup CIMB dengan menjadikan Indonesia sebagai pasar perbankan dengan potensi terbesar. Hal ini akan direfleksikan melalui proposisi dan pendekatan pengembangan produk dan layanan konsumen yang dapat dipasarkan oleh Grup CIMB.</w:t>
      </w:r>
    </w:p>
    <w:p>
      <w:pPr>
        <w:pStyle w:val="23"/>
        <w:numPr>
          <w:ilvl w:val="0"/>
          <w:numId w:val="54"/>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Implementasi dual system banking secara penuh dengan menjadikan bisnis perbankan sebagai indikator kinerja utama key performance indicatorKPI bagi seluruh unit bisnis dan pendukung serta memperkuat infrastruktur, teknologi informasi, sistem informasi manajemen management information system, dan model bisnis leverage leverage business model berbasis dual system banking.</w:t>
      </w:r>
    </w:p>
    <w:p>
      <w:pPr>
        <w:pStyle w:val="23"/>
        <w:numPr>
          <w:ilvl w:val="0"/>
          <w:numId w:val="54"/>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Penguatan kebijakan sumber daya manusia SDM berorientasi dual system banking.</w:t>
      </w:r>
    </w:p>
    <w:p>
      <w:pPr>
        <w:pStyle w:val="23"/>
        <w:numPr>
          <w:ilvl w:val="0"/>
          <w:numId w:val="54"/>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Penyelarasan bisnis dengan mengkapitalisasi kekuatan PT Bank CIMB Niaga dan CIMB Group secara regional, serta optimalisasi produktifitas, penguatan diversifikasi produk dan layanan untuk menjangkau seluruh nasabah CIMB Niaga dan pengembangan pasar.</w:t>
      </w:r>
    </w:p>
    <w:p>
      <w:pPr>
        <w:pStyle w:val="23"/>
        <w:numPr>
          <w:ilvl w:val="0"/>
          <w:numId w:val="54"/>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Penekanan berkelanjutan mengenai pentingnya Indonesia sebagai basis pengembangan bisnis perbankan agar CIMB Niaga dapat menjadi pelaku industri perbankan terkemuka dan terbesar di Indonesia.</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Mybank Indonesia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Bank Maybank Indonesia Tbk (d/h Bank Internasional Indonesia Tbk / Bank BII) didirikan 15 Mei 1959. Kantor pusat Bank Maybank beralamat di Sentral Senayan III, Jalan Asia Afrika No. 8, Gelora Bung Karno – Senayan, Jakarta 10270 – Indonesia. Bank Maybank memiliki 1 kantor pusat, 81 kantor cabang, 313 kantor cabang pembantu, 1 kantor cabang pembantu mikro, 23 kantor fungsional mikro, 1 kantor kas, 7 kantor cabang Syariah dan 2 kantor cabang pembantu Syariah. Adapun visi Bank Maybank Indonesia ini adalah Menjadi penyedia layanan keuangan terkemuka di Indonesia, yang didukung oleh sumber daya manusia yang berkomitmen penuh dan inovatif untuk menciptakan nilai dan melayani komunitas. Sedangkan misi dalam Bank Maybank Indonesia ini adalah :</w:t>
      </w:r>
    </w:p>
    <w:p>
      <w:pPr>
        <w:pStyle w:val="23"/>
        <w:numPr>
          <w:ilvl w:val="0"/>
          <w:numId w:val="5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Berfokus untuk menyediakan akses yang nyaman untuk mendapatkan secara langsung produk dan layanan perbankan</w:t>
      </w:r>
    </w:p>
    <w:p>
      <w:pPr>
        <w:pStyle w:val="23"/>
        <w:numPr>
          <w:ilvl w:val="0"/>
          <w:numId w:val="5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advice kepada nasabah berdasarkan kebutuhan</w:t>
      </w:r>
    </w:p>
    <w:p>
      <w:pPr>
        <w:pStyle w:val="23"/>
        <w:numPr>
          <w:ilvl w:val="0"/>
          <w:numId w:val="5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Memberikan advice kepada nasabah berdasarkan kebutuhan</w:t>
      </w:r>
    </w:p>
    <w:p>
      <w:pPr>
        <w:pStyle w:val="23"/>
        <w:numPr>
          <w:ilvl w:val="0"/>
          <w:numId w:val="5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Berkomitmen untuk memberikan persyaratan dan harga yang wajar.</w:t>
      </w:r>
    </w:p>
    <w:p>
      <w:pPr>
        <w:pStyle w:val="23"/>
        <w:numPr>
          <w:ilvl w:val="0"/>
          <w:numId w:val="55"/>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Memprioritaskan pengalaman nasabah menggunakan teknologi digital generasi mendatang</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Permata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Bank Permata Tbk atau selanjutnya disebut “PermataBank/ Perseroan/ Bank” pada awalnya didirikan dengan nama PT Bank Persatuan Dagang Indonesia di tahun 1954. Dalam perjalanannya, berubah nama menjadi PT Bank Bali dan selanjutnya pada tanggal 15 Januari 1990 mencatatkan sahamnya pertama kali di Bursa Efek Jakarta dengan kode perdagangan BNLI dan selanjutnya pada tanggal 21 Agustus 1997 berubah nama menjadi PT Bank Bali Tbk. Adapun visi dalam </w:t>
      </w:r>
      <w:r>
        <w:rPr>
          <w:rFonts w:ascii="Times New Roman" w:hAnsi="Times New Roman" w:eastAsia="Times New Roman" w:cs="Times New Roman"/>
          <w:color w:val="000000"/>
          <w:sz w:val="24"/>
          <w:szCs w:val="24"/>
        </w:rPr>
        <w:t xml:space="preserve">Bank Permata ini adalah </w:t>
      </w:r>
      <w:r>
        <w:rPr>
          <w:rFonts w:ascii="Times New Roman" w:hAnsi="Times New Roman" w:cs="Times New Roman"/>
          <w:sz w:val="24"/>
          <w:szCs w:val="24"/>
        </w:rPr>
        <w:t xml:space="preserve">Menjadi bank pilihan dengan terus membina kemitraan dan menciptakan nilai bermakna bagi </w:t>
      </w:r>
      <w:r>
        <w:rPr>
          <w:rFonts w:ascii="Times New Roman" w:hAnsi="Times New Roman" w:cs="Times New Roman"/>
          <w:i/>
          <w:sz w:val="24"/>
          <w:szCs w:val="24"/>
        </w:rPr>
        <w:t>stakeholder.</w:t>
      </w:r>
      <w:r>
        <w:rPr>
          <w:rFonts w:ascii="Times New Roman" w:hAnsi="Times New Roman" w:cs="Times New Roman"/>
          <w:sz w:val="24"/>
          <w:szCs w:val="24"/>
        </w:rPr>
        <w:t xml:space="preserve"> Sedangkan misi dalam Bank Permata ini adalah :</w:t>
      </w:r>
    </w:p>
    <w:p>
      <w:pPr>
        <w:pStyle w:val="23"/>
        <w:numPr>
          <w:ilvl w:val="0"/>
          <w:numId w:val="56"/>
        </w:numPr>
        <w:tabs>
          <w:tab w:val="left" w:pos="2865"/>
        </w:tabs>
        <w:rPr>
          <w:rFonts w:ascii="Times New Roman" w:hAnsi="Times New Roman" w:cs="Times New Roman"/>
          <w:sz w:val="24"/>
          <w:szCs w:val="24"/>
        </w:rPr>
      </w:pPr>
      <w:r>
        <w:rPr>
          <w:rFonts w:ascii="Times New Roman" w:hAnsi="Times New Roman" w:cs="Times New Roman"/>
          <w:sz w:val="24"/>
          <w:szCs w:val="24"/>
        </w:rPr>
        <w:t>Berperan aktif sebagai mitra dibidang keuangan dan agen pembangunan yang efisien bagi nasabah dan masyarakat</w:t>
      </w:r>
    </w:p>
    <w:p>
      <w:pPr>
        <w:pStyle w:val="23"/>
        <w:numPr>
          <w:ilvl w:val="0"/>
          <w:numId w:val="56"/>
        </w:numPr>
        <w:tabs>
          <w:tab w:val="left" w:pos="2865"/>
        </w:tabs>
        <w:rPr>
          <w:rFonts w:ascii="Times New Roman" w:hAnsi="Times New Roman" w:cs="Times New Roman"/>
          <w:sz w:val="24"/>
          <w:szCs w:val="24"/>
        </w:rPr>
      </w:pPr>
      <w:r>
        <w:rPr>
          <w:rFonts w:ascii="Times New Roman" w:hAnsi="Times New Roman" w:cs="Times New Roman"/>
          <w:sz w:val="24"/>
          <w:szCs w:val="24"/>
        </w:rPr>
        <w:t>Memberikan layanan keuangan menyeluruh secara sederhana, cepat,andal dan inovatif</w:t>
      </w:r>
    </w:p>
    <w:p>
      <w:pPr>
        <w:pStyle w:val="23"/>
        <w:numPr>
          <w:ilvl w:val="0"/>
          <w:numId w:val="56"/>
        </w:numPr>
        <w:tabs>
          <w:tab w:val="left" w:pos="2865"/>
        </w:tabs>
        <w:rPr>
          <w:rFonts w:ascii="Times New Roman" w:hAnsi="Times New Roman" w:cs="Times New Roman"/>
          <w:sz w:val="24"/>
          <w:szCs w:val="24"/>
        </w:rPr>
      </w:pPr>
      <w:r>
        <w:rPr>
          <w:rFonts w:ascii="Times New Roman" w:hAnsi="Times New Roman" w:cs="Times New Roman"/>
          <w:sz w:val="24"/>
          <w:szCs w:val="24"/>
        </w:rPr>
        <w:t>Berkomitmen untuk memberikan pengalaman unggul bagi pemangku kepentingan dan membangun nilai positif bagi pemegang saham</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Sinarmas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Pada 18 Agustus 1989 PT. Bank Sinarmas Tbk. berdiri dengan nama PT Bank Shinta Indonesia. Di tahun 1995, Bank memperoleh status sebagai Bank Umum Devisa, dan pada tahun 1998, Bank meningkatkan modal disetor menjadi Rp50 miliar. Tahun 2005, merupakan tahun penting dalam riwayat Bank setelah PT Sinarmas Multiartha Tbk, perusahaan financial services yang berada di bawah Kelompok Usaha Sinarmas mengambil alih 21% saham di PT Bank Shinta Indonesia. Dengan demikian pada Desember 2006 pergantian nama menjadi PT Bank Sinarmas disetujui pada Rapat Umum Pemegang Saham Luar Biasa. Adapun Visi dari </w:t>
      </w:r>
      <w:r>
        <w:rPr>
          <w:rFonts w:ascii="Times New Roman" w:hAnsi="Times New Roman" w:eastAsia="Times New Roman" w:cs="Times New Roman"/>
          <w:color w:val="000000"/>
          <w:sz w:val="24"/>
          <w:szCs w:val="24"/>
        </w:rPr>
        <w:t xml:space="preserve">Bank Sinarmas ini adalah </w:t>
      </w:r>
      <w:r>
        <w:rPr>
          <w:rFonts w:ascii="Times New Roman" w:hAnsi="Times New Roman" w:cs="Times New Roman"/>
          <w:sz w:val="24"/>
          <w:szCs w:val="24"/>
        </w:rPr>
        <w:t xml:space="preserve">menjadi bank terkemuka di indonesia dengan jaringan distribusi yang terintegrasi dan layanan yang prima. Sedangkan Misi dalam </w:t>
      </w:r>
      <w:r>
        <w:rPr>
          <w:rFonts w:ascii="Times New Roman" w:hAnsi="Times New Roman" w:eastAsia="Times New Roman" w:cs="Times New Roman"/>
          <w:color w:val="000000"/>
          <w:sz w:val="24"/>
          <w:szCs w:val="24"/>
        </w:rPr>
        <w:t>Bank Sinarmas ini adalah :</w:t>
      </w:r>
    </w:p>
    <w:p>
      <w:pPr>
        <w:pStyle w:val="23"/>
        <w:numPr>
          <w:ilvl w:val="0"/>
          <w:numId w:val="5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Memperluas jaringan kantor untuk penetrasi pasar dan pembiayaan pada sentra-sentra konsumer, UKM dan sektor usaha skala korporasi.</w:t>
      </w:r>
    </w:p>
    <w:p>
      <w:pPr>
        <w:pStyle w:val="23"/>
        <w:numPr>
          <w:ilvl w:val="0"/>
          <w:numId w:val="5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Memperluas basis nasabah, mulai dari nasabah kecil hingga korporasi, melalui kerja sama dengan lembaga keuangan maupun mitra usaha lainnya.</w:t>
      </w:r>
    </w:p>
    <w:p>
      <w:pPr>
        <w:pStyle w:val="23"/>
        <w:numPr>
          <w:ilvl w:val="0"/>
          <w:numId w:val="5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Meningkatkan kemampuan Teknologi Informasi dan Sumber Daya Manusia dalam rangka memberikan layanan terbaik melalui payment system yang lengkap.</w:t>
      </w:r>
    </w:p>
    <w:p>
      <w:pPr>
        <w:pStyle w:val="23"/>
        <w:numPr>
          <w:ilvl w:val="0"/>
          <w:numId w:val="57"/>
        </w:numPr>
        <w:tabs>
          <w:tab w:val="left" w:pos="2865"/>
        </w:tabs>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Membudayakan sistem Manajemen Risiko sesuai dengan prinsip kehati-hatian dan </w:t>
      </w:r>
      <w:r>
        <w:rPr>
          <w:rFonts w:ascii="Times New Roman" w:hAnsi="Times New Roman" w:cs="Times New Roman"/>
          <w:i/>
          <w:sz w:val="24"/>
          <w:szCs w:val="24"/>
        </w:rPr>
        <w:t xml:space="preserve">Good Corporate Government </w:t>
      </w:r>
      <w:r>
        <w:rPr>
          <w:rFonts w:ascii="Times New Roman" w:hAnsi="Times New Roman" w:cs="Times New Roman"/>
          <w:sz w:val="24"/>
          <w:szCs w:val="24"/>
        </w:rPr>
        <w:t>(GCG).</w:t>
      </w:r>
    </w:p>
    <w:p>
      <w:pPr>
        <w:pStyle w:val="23"/>
        <w:numPr>
          <w:ilvl w:val="0"/>
          <w:numId w:val="25"/>
        </w:numPr>
        <w:tabs>
          <w:tab w:val="left" w:pos="2865"/>
        </w:tabs>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PT Bank Of India Indonesia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PT Bank of India Indonesia Tbk berawal dari sebuah Bank Pasar bernama Bank Pasar Swadesi yang berdiri pada pada tanggal 28 September 1968 di Surabaya. Pada tahun 1984, kepemilikan Bank diambil alih oleh Keluarga Chugani yang menumbuh-kembangkan Bank ini sehingga pada tanggal 2 September 1989, Bank Pasar Swadesi meningkatkan statusnya dan secara resmi beroperasi menjadi Bank Umum dengan nama Bank Swadesi. Adapun visi dalam </w:t>
      </w:r>
      <w:r>
        <w:rPr>
          <w:rFonts w:ascii="Times New Roman" w:hAnsi="Times New Roman" w:eastAsia="Times New Roman" w:cs="Times New Roman"/>
          <w:color w:val="000000"/>
          <w:sz w:val="24"/>
          <w:szCs w:val="24"/>
        </w:rPr>
        <w:t xml:space="preserve">Bank Of India Indonesia </w:t>
      </w:r>
      <w:r>
        <w:rPr>
          <w:rFonts w:ascii="Times New Roman" w:hAnsi="Times New Roman" w:cs="Times New Roman"/>
          <w:sz w:val="24"/>
          <w:szCs w:val="24"/>
        </w:rPr>
        <w:t xml:space="preserve">Menjadi Bank yang prudent dan terpercaya dengan standar internasional dalam memenuhi kebutuhan nasabah, dalam transaksi perbankan nasional maupun internasional. Sedangkan Misi dalam </w:t>
      </w:r>
      <w:r>
        <w:rPr>
          <w:rFonts w:ascii="Times New Roman" w:hAnsi="Times New Roman" w:eastAsia="Times New Roman" w:cs="Times New Roman"/>
          <w:color w:val="000000"/>
          <w:sz w:val="24"/>
          <w:szCs w:val="24"/>
        </w:rPr>
        <w:t>Bank Of India Indonesia ini adalah :</w:t>
      </w:r>
    </w:p>
    <w:p>
      <w:pPr>
        <w:pStyle w:val="23"/>
        <w:numPr>
          <w:ilvl w:val="0"/>
          <w:numId w:val="58"/>
        </w:numPr>
        <w:tabs>
          <w:tab w:val="left" w:pos="2865"/>
        </w:tabs>
        <w:rPr>
          <w:rFonts w:ascii="Times New Roman" w:hAnsi="Times New Roman" w:cs="Times New Roman"/>
          <w:i/>
          <w:sz w:val="24"/>
          <w:szCs w:val="24"/>
        </w:rPr>
      </w:pPr>
      <w:r>
        <w:rPr>
          <w:rFonts w:ascii="Times New Roman" w:hAnsi="Times New Roman" w:cs="Times New Roman"/>
          <w:sz w:val="24"/>
          <w:szCs w:val="24"/>
        </w:rPr>
        <w:t xml:space="preserve">Menyediakan layanan unggulan dengan lebih memfokuskan pada perbankan ritel, berdasarkan prinsip Kehati-hatian Bank dan Good Corporate Governance untuk meningkatkan nilai bagi </w:t>
      </w:r>
      <w:r>
        <w:rPr>
          <w:rFonts w:ascii="Times New Roman" w:hAnsi="Times New Roman" w:cs="Times New Roman"/>
          <w:i/>
          <w:sz w:val="24"/>
          <w:szCs w:val="24"/>
        </w:rPr>
        <w:t>Stakeholder.</w:t>
      </w:r>
    </w:p>
    <w:p>
      <w:pPr>
        <w:pStyle w:val="23"/>
        <w:numPr>
          <w:ilvl w:val="0"/>
          <w:numId w:val="25"/>
        </w:numPr>
        <w:rPr>
          <w:rFonts w:ascii="Times New Roman" w:hAnsi="Times New Roman" w:cs="Times New Roman"/>
          <w:i/>
          <w:sz w:val="24"/>
          <w:szCs w:val="24"/>
        </w:rPr>
      </w:pPr>
      <w:r>
        <w:rPr>
          <w:rFonts w:ascii="Times New Roman" w:hAnsi="Times New Roman" w:cs="Times New Roman"/>
          <w:b/>
          <w:sz w:val="24"/>
          <w:szCs w:val="24"/>
        </w:rPr>
        <w:t xml:space="preserve">PT </w:t>
      </w:r>
      <w:r>
        <w:rPr>
          <w:rFonts w:ascii="Times New Roman" w:hAnsi="Times New Roman" w:eastAsia="Times New Roman" w:cs="Times New Roman"/>
          <w:b/>
          <w:color w:val="000000"/>
          <w:sz w:val="24"/>
          <w:szCs w:val="24"/>
        </w:rPr>
        <w:t>Bank Tabungan Pensiun Nasional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Bank didirikan di Bandung, Jawa Barat, pada 1958 dengan nama Bank Pegawai Pensiunan Militer (Bapemil). Kemudian, Bank berubah nama menjadi Bank Tabungan Pensiunan Nasional di tahun 1986. BTPN merupakan bank yang memfokuskan diri untuk melayani dan memberdayakan masyarakat berpendapatan rendah yang terdiri dari para pensiunan, pelaku usaha mikro, kecil, dan menengah (UMKM), serta komunitas prasejahtera produktif (mass market). Saat ini BTPN berkantor pusat di Jakarta dengan cabang-cabang di lebih dari 300 kota di seluruh Indonesia. Adapun Misi dalam </w:t>
      </w:r>
      <w:r>
        <w:rPr>
          <w:rFonts w:ascii="Times New Roman" w:hAnsi="Times New Roman" w:eastAsia="Times New Roman" w:cs="Times New Roman"/>
          <w:color w:val="000000"/>
          <w:sz w:val="24"/>
          <w:szCs w:val="24"/>
        </w:rPr>
        <w:t xml:space="preserve">Bank Tabungan Pensiun Nasional </w:t>
      </w:r>
      <w:r>
        <w:rPr>
          <w:rFonts w:ascii="Times New Roman" w:hAnsi="Times New Roman" w:cs="Times New Roman"/>
          <w:sz w:val="24"/>
          <w:szCs w:val="24"/>
        </w:rPr>
        <w:t xml:space="preserve">Menjadi bank pilihan utama di Indonesia, yang dapat memberikan perubahan berarti dalam kehidupan jutaan orang, terutama dengan dukungan digital. Sedangkan misi dalam </w:t>
      </w:r>
      <w:r>
        <w:rPr>
          <w:rFonts w:ascii="Times New Roman" w:hAnsi="Times New Roman" w:eastAsia="Times New Roman" w:cs="Times New Roman"/>
          <w:color w:val="000000"/>
          <w:sz w:val="24"/>
          <w:szCs w:val="24"/>
        </w:rPr>
        <w:t>Bank Tabungan Pensiun Nasional ini adalah :</w:t>
      </w:r>
    </w:p>
    <w:p>
      <w:pPr>
        <w:pStyle w:val="23"/>
        <w:numPr>
          <w:ilvl w:val="0"/>
          <w:numId w:val="59"/>
        </w:numPr>
        <w:tabs>
          <w:tab w:val="left" w:pos="2865"/>
        </w:tabs>
        <w:rPr>
          <w:rFonts w:ascii="Times New Roman" w:hAnsi="Times New Roman" w:cs="Times New Roman"/>
          <w:sz w:val="24"/>
          <w:szCs w:val="24"/>
        </w:rPr>
      </w:pPr>
      <w:r>
        <w:rPr>
          <w:rFonts w:ascii="Times New Roman" w:hAnsi="Times New Roman" w:cs="Times New Roman"/>
          <w:sz w:val="24"/>
          <w:szCs w:val="24"/>
        </w:rPr>
        <w:t>Menawarkan solusi dan layanan keuangan yang lengkap ke berbagai segmen ritel, mikro, UKM dan korporat bisnis di Indonesia, serta Bangsa dan Negara Indonesia secara keseluruhan.</w:t>
      </w:r>
    </w:p>
    <w:p>
      <w:pPr>
        <w:pStyle w:val="23"/>
        <w:numPr>
          <w:ilvl w:val="0"/>
          <w:numId w:val="59"/>
        </w:numPr>
        <w:tabs>
          <w:tab w:val="left" w:pos="2865"/>
        </w:tabs>
        <w:rPr>
          <w:rFonts w:ascii="Times New Roman" w:hAnsi="Times New Roman" w:cs="Times New Roman"/>
          <w:sz w:val="24"/>
          <w:szCs w:val="24"/>
        </w:rPr>
      </w:pPr>
      <w:r>
        <w:rPr>
          <w:rFonts w:ascii="Times New Roman" w:hAnsi="Times New Roman" w:cs="Times New Roman"/>
          <w:sz w:val="24"/>
          <w:szCs w:val="24"/>
        </w:rPr>
        <w:t>Memberikan kesempatan berharga bagi pertumbuhan profesional karyawan Bank BTPN</w:t>
      </w:r>
    </w:p>
    <w:p>
      <w:pPr>
        <w:pStyle w:val="23"/>
        <w:numPr>
          <w:ilvl w:val="0"/>
          <w:numId w:val="59"/>
        </w:numPr>
        <w:tabs>
          <w:tab w:val="left" w:pos="2865"/>
        </w:tabs>
        <w:rPr>
          <w:rFonts w:ascii="Times New Roman" w:hAnsi="Times New Roman" w:cs="Times New Roman"/>
          <w:sz w:val="24"/>
          <w:szCs w:val="24"/>
        </w:rPr>
      </w:pPr>
      <w:r>
        <w:rPr>
          <w:rFonts w:ascii="Times New Roman" w:hAnsi="Times New Roman" w:cs="Times New Roman"/>
          <w:sz w:val="24"/>
          <w:szCs w:val="24"/>
        </w:rPr>
        <w:t>Menciptakan nilai yang signifikan dan berkesinambungan bagi stakeholder termasuk masyarakat Indonesia</w:t>
      </w:r>
    </w:p>
    <w:p>
      <w:pPr>
        <w:pStyle w:val="23"/>
        <w:numPr>
          <w:ilvl w:val="0"/>
          <w:numId w:val="59"/>
        </w:numPr>
        <w:tabs>
          <w:tab w:val="left" w:pos="2865"/>
        </w:tabs>
        <w:rPr>
          <w:rFonts w:ascii="Times New Roman" w:hAnsi="Times New Roman" w:cs="Times New Roman"/>
          <w:sz w:val="24"/>
          <w:szCs w:val="24"/>
        </w:rPr>
      </w:pPr>
      <w:r>
        <w:rPr>
          <w:rFonts w:ascii="Times New Roman" w:hAnsi="Times New Roman" w:cs="Times New Roman"/>
          <w:sz w:val="24"/>
          <w:szCs w:val="24"/>
        </w:rPr>
        <w:t>Memanfaatkan inovasi teknologi sebagai pembeda utama untuk memberikan kualitas dan pengalaman terbaik di kelasnya kepada nasabah dan mitra Bank BTPN.</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Victoria Internasional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PT Bank Victoria International Tbk (selanjutnya disebut Bank Victoria atau Bank) merupakan salah satu perbankan komersial di Indonesia yang telah berdiri selama lebih dari 27 tahun. Bank pertama kali didirikan dengan nama PT Bank Victoria berdasarkan Akta Perseroan Terbatas No. 71 tanggal 28 Oktober 1992 yang dibuat dihadapan Notaris Amrul Partomuan Pohan, SH, LLM. Adapun  visi dari </w:t>
      </w:r>
      <w:r>
        <w:rPr>
          <w:rFonts w:ascii="Times New Roman" w:hAnsi="Times New Roman" w:eastAsia="Times New Roman" w:cs="Times New Roman"/>
          <w:color w:val="000000"/>
          <w:sz w:val="24"/>
          <w:szCs w:val="24"/>
        </w:rPr>
        <w:t xml:space="preserve">Bank Victoria Internasional ini adalah </w:t>
      </w:r>
      <w:r>
        <w:rPr>
          <w:rFonts w:ascii="Times New Roman" w:hAnsi="Times New Roman" w:cs="Times New Roman"/>
          <w:sz w:val="24"/>
          <w:szCs w:val="24"/>
        </w:rPr>
        <w:t xml:space="preserve">Menjadi Bank pilihan Nasabah yang terpercaya, sehat, efisien, dan mendukung pertumbuhan berkelanjutan. Sedangkan misi dalam </w:t>
      </w:r>
      <w:r>
        <w:rPr>
          <w:rFonts w:ascii="Times New Roman" w:hAnsi="Times New Roman" w:eastAsia="Times New Roman" w:cs="Times New Roman"/>
          <w:color w:val="000000"/>
          <w:sz w:val="24"/>
          <w:szCs w:val="24"/>
        </w:rPr>
        <w:t>Bank Victoria Internasional ini adalah :</w:t>
      </w:r>
    </w:p>
    <w:p>
      <w:pPr>
        <w:pStyle w:val="23"/>
        <w:numPr>
          <w:ilvl w:val="0"/>
          <w:numId w:val="60"/>
        </w:numPr>
        <w:tabs>
          <w:tab w:val="left" w:pos="2865"/>
        </w:tabs>
        <w:rPr>
          <w:rFonts w:ascii="Times New Roman" w:hAnsi="Times New Roman" w:cs="Times New Roman"/>
          <w:sz w:val="24"/>
          <w:szCs w:val="24"/>
        </w:rPr>
      </w:pPr>
      <w:r>
        <w:rPr>
          <w:rFonts w:ascii="Times New Roman" w:hAnsi="Times New Roman" w:cs="Times New Roman"/>
          <w:sz w:val="24"/>
          <w:szCs w:val="24"/>
        </w:rPr>
        <w:t>Senantiasa berupaya memenuhi kebutuhan nasabah, membina hubungan yang baik dengan nasabah, serta memberi layanan yang terbaik kepada para nasabah.</w:t>
      </w:r>
    </w:p>
    <w:p>
      <w:pPr>
        <w:pStyle w:val="23"/>
        <w:numPr>
          <w:ilvl w:val="0"/>
          <w:numId w:val="60"/>
        </w:numPr>
        <w:tabs>
          <w:tab w:val="left" w:pos="2865"/>
        </w:tabs>
        <w:rPr>
          <w:rFonts w:ascii="Times New Roman" w:hAnsi="Times New Roman" w:cs="Times New Roman"/>
          <w:sz w:val="24"/>
          <w:szCs w:val="24"/>
        </w:rPr>
      </w:pPr>
      <w:r>
        <w:rPr>
          <w:rFonts w:ascii="Times New Roman" w:hAnsi="Times New Roman" w:cs="Times New Roman"/>
          <w:sz w:val="24"/>
          <w:szCs w:val="24"/>
        </w:rPr>
        <w:t>Mengembangkan sumber daya manusia yang profesional, berprinsip dan berdedikasi untuk memberikan layanan serta memenuhi kebutuhan nasabah.</w:t>
      </w:r>
    </w:p>
    <w:p>
      <w:pPr>
        <w:pStyle w:val="23"/>
        <w:numPr>
          <w:ilvl w:val="0"/>
          <w:numId w:val="60"/>
        </w:numPr>
        <w:tabs>
          <w:tab w:val="left" w:pos="2865"/>
        </w:tabs>
        <w:rPr>
          <w:rFonts w:ascii="Times New Roman" w:hAnsi="Times New Roman" w:cs="Times New Roman"/>
          <w:sz w:val="24"/>
          <w:szCs w:val="24"/>
        </w:rPr>
      </w:pPr>
      <w:r>
        <w:rPr>
          <w:rFonts w:ascii="Times New Roman" w:hAnsi="Times New Roman" w:cs="Times New Roman"/>
          <w:sz w:val="24"/>
          <w:szCs w:val="24"/>
        </w:rPr>
        <w:t>Menjalankan operasional perbankan dengan menerapkan prinsip kehati-hatian secara efisien dan berkesinambungan.</w:t>
      </w:r>
    </w:p>
    <w:p>
      <w:pPr>
        <w:pStyle w:val="23"/>
        <w:numPr>
          <w:ilvl w:val="0"/>
          <w:numId w:val="60"/>
        </w:numPr>
        <w:tabs>
          <w:tab w:val="left" w:pos="2865"/>
        </w:tabs>
        <w:rPr>
          <w:rFonts w:ascii="Times New Roman" w:hAnsi="Times New Roman" w:cs="Times New Roman"/>
          <w:sz w:val="24"/>
          <w:szCs w:val="24"/>
        </w:rPr>
      </w:pPr>
      <w:r>
        <w:rPr>
          <w:rFonts w:ascii="Times New Roman" w:hAnsi="Times New Roman" w:cs="Times New Roman"/>
          <w:sz w:val="24"/>
          <w:szCs w:val="24"/>
        </w:rPr>
        <w:t xml:space="preserve">Mengimplementasikan proses manajemen risiko secara prudent dan konsisten, tanpa mengabaikan prinsip-prinsip kehatian-hatian, tata kelola Bank dan keuangan berkelanjutan </w:t>
      </w:r>
      <w:r>
        <w:rPr>
          <w:rFonts w:ascii="Times New Roman" w:hAnsi="Times New Roman" w:cs="Times New Roman"/>
          <w:i/>
          <w:sz w:val="24"/>
          <w:szCs w:val="24"/>
        </w:rPr>
        <w:t>(sustainable finance)</w:t>
      </w:r>
    </w:p>
    <w:p>
      <w:pPr>
        <w:pStyle w:val="23"/>
        <w:tabs>
          <w:tab w:val="left" w:pos="2865"/>
        </w:tabs>
        <w:ind w:firstLine="0"/>
        <w:rPr>
          <w:rFonts w:ascii="Times New Roman" w:hAnsi="Times New Roman" w:cs="Times New Roman"/>
          <w:i/>
          <w:sz w:val="24"/>
          <w:szCs w:val="24"/>
        </w:rPr>
      </w:pPr>
    </w:p>
    <w:p>
      <w:pPr>
        <w:pStyle w:val="23"/>
        <w:tabs>
          <w:tab w:val="left" w:pos="2865"/>
        </w:tabs>
        <w:ind w:firstLine="0"/>
        <w:rPr>
          <w:rFonts w:ascii="Times New Roman" w:hAnsi="Times New Roman" w:cs="Times New Roman"/>
          <w:sz w:val="24"/>
          <w:szCs w:val="24"/>
        </w:rPr>
      </w:pP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Dinar Indonesia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Perseroan pertama kali didirikan dengan nama PT Liman International Bank pada tahun 1990 berdasarkan akta pendirian No. 99 tanggal 15 Agustus 1990. Izin operasi sebagai Bank Umum ditetapkan melalui surat Bank Indonesia tertanggal 21 November 1991. Pada tanggal 8 November 2012 dilakukan perubahan nama menjadi PT Bank Dinar Indonesia. Perubahan nama ini diputuskan melalui Rapat Umum Pemegang Saham Luar Biasa (RUPSLB) dan telah mendapat persetujuan dari Bank Indonesia serta Kementerian Hukum dan Hak Asasi Manusia Republik Indonesia. Sejak 11 Juli 2014 saham Perseroan resmi tercatat di Bursa Efek Indonesia (BEI) dengan kode saham DNAR sehingga nama Perseroan saat itu menjadi PT Bank Dinar Indonesia Tbk (Bank Dinar). Pada tanggal 25 Oktober 2018 Bank Dinar diakuisisi oleh APRO Financial Co., Ltd (APRO) sebuah institusi keuangan besar yang berasal dari Korea Selatan. Transaksi akuisisi dilakukan melalui pembelian 77,38% saham Bank Dinar. Adapun visi dalam </w:t>
      </w:r>
      <w:r>
        <w:rPr>
          <w:rFonts w:ascii="Times New Roman" w:hAnsi="Times New Roman" w:eastAsia="Times New Roman" w:cs="Times New Roman"/>
          <w:color w:val="000000"/>
          <w:sz w:val="24"/>
          <w:szCs w:val="24"/>
        </w:rPr>
        <w:t xml:space="preserve">Bank Dinar Indonesia ini adalah </w:t>
      </w:r>
      <w:r>
        <w:rPr>
          <w:rFonts w:ascii="Times New Roman" w:hAnsi="Times New Roman" w:cs="Times New Roman"/>
          <w:sz w:val="24"/>
          <w:szCs w:val="24"/>
        </w:rPr>
        <w:t xml:space="preserve">Untuk menjadi bank terbaik dalam memprioritaskan pelayanan prima. Sedangkan misi dalam </w:t>
      </w:r>
      <w:r>
        <w:rPr>
          <w:rFonts w:ascii="Times New Roman" w:hAnsi="Times New Roman" w:eastAsia="Times New Roman" w:cs="Times New Roman"/>
          <w:color w:val="000000"/>
          <w:sz w:val="24"/>
          <w:szCs w:val="24"/>
        </w:rPr>
        <w:t xml:space="preserve">Bank Dinar Indonesia ini adalah </w:t>
      </w:r>
      <w:r>
        <w:rPr>
          <w:rFonts w:ascii="Times New Roman" w:hAnsi="Times New Roman" w:cs="Times New Roman"/>
          <w:sz w:val="24"/>
          <w:szCs w:val="24"/>
        </w:rPr>
        <w:t>Untuk memberikan kepercayaan kepada pelanggan serta memberikan kontribusi kepada masyarakat dengan layanan terbaik.</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Artha Graha Internasional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Bank Artha Graha Internasional Tbk didirikan dengan nama PT Inter-Pacific Financial Corporation yang beroperasi secara komersial sebagai lembaga keuangan bukan bank. Bank didirikan berdasarkan Akta No. 12 tanggal 7 September 1973 yang dibuat di hadapan Bagjo, SH, notaris pengganti dari Eliza Pondaag, SH, notaris di Jakarta. Adapun visi dalam Bank Artha Graha Internasional ini adalah Menjadi Bank Terbaik Pilihan Masyarakat yang Dikagumi Stakeholders. Sedangkan misi dalam </w:t>
      </w:r>
      <w:r>
        <w:rPr>
          <w:rFonts w:ascii="Times New Roman" w:hAnsi="Times New Roman" w:eastAsia="Times New Roman" w:cs="Times New Roman"/>
          <w:color w:val="000000"/>
          <w:sz w:val="24"/>
          <w:szCs w:val="24"/>
        </w:rPr>
        <w:t>Bank Artha Graha Internasional ini adalah :</w:t>
      </w:r>
    </w:p>
    <w:p>
      <w:pPr>
        <w:pStyle w:val="23"/>
        <w:numPr>
          <w:ilvl w:val="0"/>
          <w:numId w:val="61"/>
        </w:numPr>
        <w:tabs>
          <w:tab w:val="left" w:pos="2865"/>
        </w:tabs>
        <w:rPr>
          <w:rFonts w:ascii="Times New Roman" w:hAnsi="Times New Roman" w:cs="Times New Roman"/>
          <w:sz w:val="24"/>
          <w:szCs w:val="24"/>
        </w:rPr>
      </w:pPr>
      <w:r>
        <w:rPr>
          <w:rFonts w:ascii="Times New Roman" w:hAnsi="Times New Roman" w:cs="Times New Roman"/>
          <w:sz w:val="24"/>
          <w:szCs w:val="24"/>
        </w:rPr>
        <w:t>Memberikan pelayanan prima pada masyarakat menjadi salah satu kunci sukses kami</w:t>
      </w:r>
    </w:p>
    <w:p>
      <w:pPr>
        <w:pStyle w:val="23"/>
        <w:numPr>
          <w:ilvl w:val="0"/>
          <w:numId w:val="61"/>
        </w:numPr>
        <w:tabs>
          <w:tab w:val="left" w:pos="2865"/>
        </w:tabs>
        <w:rPr>
          <w:rFonts w:ascii="Times New Roman" w:hAnsi="Times New Roman" w:cs="Times New Roman"/>
          <w:sz w:val="24"/>
          <w:szCs w:val="24"/>
        </w:rPr>
      </w:pPr>
      <w:r>
        <w:rPr>
          <w:rFonts w:ascii="Times New Roman" w:hAnsi="Times New Roman" w:cs="Times New Roman"/>
          <w:sz w:val="24"/>
          <w:szCs w:val="24"/>
        </w:rPr>
        <w:t>Memberikan solusi keuangan yang komprehensif dan inovatif sesuai kebutuhan pasar</w:t>
      </w:r>
    </w:p>
    <w:p>
      <w:pPr>
        <w:pStyle w:val="23"/>
        <w:numPr>
          <w:ilvl w:val="0"/>
          <w:numId w:val="61"/>
        </w:numPr>
        <w:tabs>
          <w:tab w:val="left" w:pos="2865"/>
        </w:tabs>
        <w:rPr>
          <w:rFonts w:ascii="Times New Roman" w:hAnsi="Times New Roman" w:cs="Times New Roman"/>
          <w:sz w:val="24"/>
          <w:szCs w:val="24"/>
        </w:rPr>
      </w:pPr>
      <w:r>
        <w:rPr>
          <w:rFonts w:ascii="Times New Roman" w:hAnsi="Times New Roman" w:cs="Times New Roman"/>
          <w:sz w:val="24"/>
          <w:szCs w:val="24"/>
        </w:rPr>
        <w:t>Mengembangkan human capital</w:t>
      </w:r>
    </w:p>
    <w:p>
      <w:pPr>
        <w:pStyle w:val="23"/>
        <w:numPr>
          <w:ilvl w:val="0"/>
          <w:numId w:val="61"/>
        </w:numPr>
        <w:tabs>
          <w:tab w:val="left" w:pos="2865"/>
        </w:tabs>
        <w:rPr>
          <w:rFonts w:ascii="Times New Roman" w:hAnsi="Times New Roman" w:cs="Times New Roman"/>
          <w:sz w:val="24"/>
          <w:szCs w:val="24"/>
        </w:rPr>
      </w:pPr>
      <w:r>
        <w:rPr>
          <w:rFonts w:ascii="Times New Roman" w:hAnsi="Times New Roman" w:cs="Times New Roman"/>
          <w:sz w:val="24"/>
          <w:szCs w:val="24"/>
        </w:rPr>
        <w:t>Menciptakan manfaat yang optimal bagi stakeholders; dan5. Menjadi good corporate citizen yang peduli terhadap masyarakat dan lingkungan.</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Mayapada Internasional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Pada 7 September 1989 didirikan PT Bank Mayapada International di Jakarta, yang kemudian disahkan oleh Menteri Kehakiman Republik Indonesia pada 10 Januari 1990. Bank mulai beroperasi secara komersial pada tanggal 16 Maret 1990, yang kemudian mendapatkan izin sebagai bank umum dari Menteri Keuangan Republik Indonesia. Adapun visi Menjadi salah satu bank swasta berkualitas di Indonesia dalam nilai aset, profitabilitas, dan tingkat kesehatan. Sedangkan misi </w:t>
      </w:r>
      <w:r>
        <w:rPr>
          <w:rFonts w:ascii="Times New Roman" w:hAnsi="Times New Roman" w:eastAsia="Times New Roman" w:cs="Times New Roman"/>
          <w:color w:val="000000"/>
          <w:sz w:val="24"/>
          <w:szCs w:val="24"/>
        </w:rPr>
        <w:t xml:space="preserve">Bank Mayapada Internasional ini adalah </w:t>
      </w:r>
      <w:r>
        <w:rPr>
          <w:rFonts w:ascii="Times New Roman" w:hAnsi="Times New Roman" w:cs="Times New Roman"/>
          <w:sz w:val="24"/>
          <w:szCs w:val="24"/>
        </w:rPr>
        <w:t>Menjalankan operasional bank yang sehat dan memberikan nilai tambah maksimal kepada nasabah, karyawan, pemegang saham, dan pemerintah.</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China Construction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China Construction Bank (CCB) Corporation, yang berkantor pusat di Beijing, adalah bank komersial berskala besar terkemuka di China. Awalnya, China Construction Bank, didirikan pada Oktober 1954. Perusahaan ini terdaftar di Bursa Efek Hong Kong pada Oktober 2005 (kode saham: 939) dan Bursa Efek Shanghai pada September 2007 (kode saham: 601939). Pada akhir 2019, kapitalisasi pasar CCB Corporation mencapai US$217.686 juta, peringkat kelima di antara semua bank yang terdaftar di dunia. Grup ini menempati peringkat kedua di antara bank-bank global berdasarkan modal Tier 1. Adapun visi dalam </w:t>
      </w:r>
      <w:r>
        <w:rPr>
          <w:rFonts w:ascii="Times New Roman" w:hAnsi="Times New Roman" w:eastAsia="Times New Roman" w:cs="Times New Roman"/>
          <w:color w:val="000000"/>
          <w:sz w:val="24"/>
          <w:szCs w:val="24"/>
        </w:rPr>
        <w:t xml:space="preserve">Bank China Construction Bank ini adalah </w:t>
      </w:r>
      <w:r>
        <w:rPr>
          <w:rFonts w:ascii="Times New Roman" w:hAnsi="Times New Roman" w:cs="Times New Roman"/>
          <w:sz w:val="24"/>
          <w:szCs w:val="24"/>
        </w:rPr>
        <w:t xml:space="preserve">Menjadi bank bertaraf internasional dan berkemampuan melipatgandakan nilai melalui kapabilitas inovasi. Sedangkan misi dalam </w:t>
      </w:r>
      <w:r>
        <w:rPr>
          <w:rFonts w:ascii="Times New Roman" w:hAnsi="Times New Roman" w:eastAsia="Times New Roman" w:cs="Times New Roman"/>
          <w:color w:val="000000"/>
          <w:sz w:val="24"/>
          <w:szCs w:val="24"/>
        </w:rPr>
        <w:t>Bank China Construction ini adalah :</w:t>
      </w:r>
    </w:p>
    <w:p>
      <w:pPr>
        <w:pStyle w:val="23"/>
        <w:numPr>
          <w:ilvl w:val="0"/>
          <w:numId w:val="62"/>
        </w:numPr>
        <w:tabs>
          <w:tab w:val="left" w:pos="2865"/>
        </w:tabs>
        <w:rPr>
          <w:rFonts w:ascii="Times New Roman" w:hAnsi="Times New Roman" w:cs="Times New Roman"/>
          <w:sz w:val="24"/>
          <w:szCs w:val="24"/>
        </w:rPr>
      </w:pPr>
      <w:r>
        <w:rPr>
          <w:rFonts w:ascii="Times New Roman" w:hAnsi="Times New Roman" w:cs="Times New Roman"/>
          <w:sz w:val="24"/>
          <w:szCs w:val="24"/>
        </w:rPr>
        <w:t>Menyediakan produk dan layanan yang lebih baik bagi nasabah</w:t>
      </w:r>
    </w:p>
    <w:p>
      <w:pPr>
        <w:pStyle w:val="23"/>
        <w:numPr>
          <w:ilvl w:val="0"/>
          <w:numId w:val="62"/>
        </w:numPr>
        <w:tabs>
          <w:tab w:val="left" w:pos="2865"/>
        </w:tabs>
        <w:rPr>
          <w:rFonts w:ascii="Times New Roman" w:hAnsi="Times New Roman" w:cs="Times New Roman"/>
          <w:sz w:val="24"/>
          <w:szCs w:val="24"/>
        </w:rPr>
      </w:pPr>
      <w:r>
        <w:rPr>
          <w:rFonts w:ascii="Times New Roman" w:hAnsi="Times New Roman" w:cs="Times New Roman"/>
          <w:sz w:val="24"/>
          <w:szCs w:val="24"/>
        </w:rPr>
        <w:t>Menciptakan nilai yang lebih tinggi bagi pemegang saham</w:t>
      </w:r>
    </w:p>
    <w:p>
      <w:pPr>
        <w:pStyle w:val="23"/>
        <w:numPr>
          <w:ilvl w:val="0"/>
          <w:numId w:val="62"/>
        </w:numPr>
        <w:tabs>
          <w:tab w:val="left" w:pos="2865"/>
        </w:tabs>
        <w:rPr>
          <w:rFonts w:ascii="Times New Roman" w:hAnsi="Times New Roman" w:cs="Times New Roman"/>
          <w:sz w:val="24"/>
          <w:szCs w:val="24"/>
        </w:rPr>
      </w:pPr>
      <w:r>
        <w:rPr>
          <w:rFonts w:ascii="Times New Roman" w:hAnsi="Times New Roman" w:cs="Times New Roman"/>
          <w:sz w:val="24"/>
          <w:szCs w:val="24"/>
        </w:rPr>
        <w:t>Membangun jenjang karier yang lebih luas bagi rekan kerja</w:t>
      </w:r>
    </w:p>
    <w:p>
      <w:pPr>
        <w:pStyle w:val="23"/>
        <w:numPr>
          <w:ilvl w:val="0"/>
          <w:numId w:val="62"/>
        </w:numPr>
        <w:tabs>
          <w:tab w:val="left" w:pos="2865"/>
        </w:tabs>
        <w:rPr>
          <w:rFonts w:ascii="Times New Roman" w:hAnsi="Times New Roman" w:cs="Times New Roman"/>
          <w:sz w:val="24"/>
          <w:szCs w:val="24"/>
        </w:rPr>
      </w:pPr>
      <w:r>
        <w:rPr>
          <w:rFonts w:ascii="Times New Roman" w:hAnsi="Times New Roman" w:cs="Times New Roman"/>
          <w:sz w:val="24"/>
          <w:szCs w:val="24"/>
        </w:rPr>
        <w:t>Melaksanakan tanggung jawab sosial dan lingkungan sebagai warga korporasi yang baik.</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Mega Tbk</w:t>
      </w:r>
    </w:p>
    <w:p>
      <w:pPr>
        <w:tabs>
          <w:tab w:val="left" w:pos="2865"/>
        </w:tabs>
        <w:ind w:firstLine="720"/>
        <w:rPr>
          <w:rFonts w:ascii="Times New Roman" w:hAnsi="Times New Roman" w:cs="Times New Roman"/>
          <w:i/>
          <w:sz w:val="24"/>
          <w:szCs w:val="24"/>
        </w:rPr>
      </w:pPr>
      <w:r>
        <w:rPr>
          <w:rStyle w:val="25"/>
          <w:rFonts w:ascii="Times New Roman" w:hAnsi="Times New Roman" w:cs="Times New Roman"/>
          <w:bCs/>
          <w:sz w:val="24"/>
          <w:szCs w:val="24"/>
        </w:rPr>
        <w:t>Bank Mega</w:t>
      </w:r>
      <w:r>
        <w:rPr>
          <w:rStyle w:val="25"/>
          <w:rFonts w:ascii="Times New Roman" w:hAnsi="Times New Roman" w:cs="Times New Roman"/>
          <w:sz w:val="24"/>
          <w:szCs w:val="24"/>
        </w:rPr>
        <w:t xml:space="preserve"> didirikan dengan nama </w:t>
      </w:r>
      <w:r>
        <w:rPr>
          <w:rStyle w:val="25"/>
          <w:rFonts w:ascii="Times New Roman" w:hAnsi="Times New Roman" w:cs="Times New Roman"/>
          <w:bCs/>
          <w:sz w:val="24"/>
          <w:szCs w:val="24"/>
        </w:rPr>
        <w:t>Mega Bank</w:t>
      </w:r>
      <w:r>
        <w:rPr>
          <w:rStyle w:val="25"/>
          <w:rFonts w:ascii="Times New Roman" w:hAnsi="Times New Roman" w:cs="Times New Roman"/>
          <w:sz w:val="24"/>
          <w:szCs w:val="24"/>
        </w:rPr>
        <w:t xml:space="preserve"> pada tanggal 1 Januari 1992 di Jakarta. Pada bulan Juni 1997 melakukan perubahan logo dengan tujuan bahwa sebagai lembaga keuangan kepercayaan masyarakat dengan akan lebih mudah dikenal melalui logo perusahaan yang baru berubah nama menjadi </w:t>
      </w:r>
      <w:r>
        <w:rPr>
          <w:rStyle w:val="25"/>
          <w:rFonts w:ascii="Times New Roman" w:hAnsi="Times New Roman" w:cs="Times New Roman"/>
          <w:bCs/>
          <w:sz w:val="24"/>
          <w:szCs w:val="24"/>
        </w:rPr>
        <w:t>Bank Mega</w:t>
      </w:r>
      <w:r>
        <w:rPr>
          <w:rStyle w:val="25"/>
          <w:rFonts w:ascii="Times New Roman" w:hAnsi="Times New Roman" w:cs="Times New Roman"/>
          <w:sz w:val="24"/>
          <w:szCs w:val="24"/>
        </w:rPr>
        <w:t xml:space="preserve">. Adapun visi dalam </w:t>
      </w:r>
      <w:r>
        <w:rPr>
          <w:rFonts w:ascii="Times New Roman" w:hAnsi="Times New Roman" w:eastAsia="Times New Roman" w:cs="Times New Roman"/>
          <w:color w:val="000000"/>
          <w:sz w:val="24"/>
          <w:szCs w:val="24"/>
        </w:rPr>
        <w:t>Bank Mega Tbk</w:t>
      </w:r>
      <w:r>
        <w:rPr>
          <w:rFonts w:ascii="Times New Roman" w:hAnsi="Times New Roman" w:cs="Times New Roman"/>
          <w:sz w:val="24"/>
          <w:szCs w:val="24"/>
        </w:rPr>
        <w:t xml:space="preserve"> Menjadi Kebanggaan Bangsa. Sedangkan misi dalam </w:t>
      </w:r>
      <w:r>
        <w:rPr>
          <w:rFonts w:ascii="Times New Roman" w:hAnsi="Times New Roman" w:eastAsia="Times New Roman" w:cs="Times New Roman"/>
          <w:color w:val="000000"/>
          <w:sz w:val="24"/>
          <w:szCs w:val="24"/>
        </w:rPr>
        <w:t xml:space="preserve">Bank Mega ini adalah </w:t>
      </w:r>
      <w:r>
        <w:rPr>
          <w:rFonts w:ascii="Times New Roman" w:hAnsi="Times New Roman" w:cs="Times New Roman"/>
          <w:sz w:val="24"/>
          <w:szCs w:val="24"/>
        </w:rPr>
        <w:t xml:space="preserve">Mewujudkan hubungan baik yang berkesinambungan dengan nasabah melalui layanan perbankan inovatif dan sinergi dengan didukung oleh ekosistem yang terintegrasi, sumber daya manusia yang profesional, serta kemampuan kinerja organisasi terbaik untuk memberikan nilai tambah yang tinggi bagi seluruh pemangku kepentingan </w:t>
      </w:r>
      <w:r>
        <w:rPr>
          <w:rFonts w:ascii="Times New Roman" w:hAnsi="Times New Roman" w:cs="Times New Roman"/>
          <w:i/>
          <w:sz w:val="24"/>
          <w:szCs w:val="24"/>
        </w:rPr>
        <w:t>(stakeholders).</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Ocbc Nisp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Bank Ocbc Nisp</w:t>
      </w:r>
      <w:r>
        <w:rPr>
          <w:rFonts w:ascii="Times New Roman" w:hAnsi="Times New Roman" w:eastAsia="Times New Roman" w:cs="Times New Roman"/>
          <w:color w:val="000000"/>
          <w:sz w:val="24"/>
          <w:szCs w:val="24"/>
          <w:lang w:val="id-ID"/>
        </w:rPr>
        <w:t xml:space="preserve"> </w:t>
      </w:r>
      <w:r>
        <w:rPr>
          <w:rFonts w:ascii="Times New Roman" w:hAnsi="Times New Roman" w:cs="Times New Roman"/>
          <w:sz w:val="24"/>
          <w:szCs w:val="24"/>
        </w:rPr>
        <w:t xml:space="preserve">berdiri pada tahun 1941, bank ocbc nisp mulai dikembangkan oleh keluarga karmaka surjaudaja dan lelarati lukman, tumbuh dengan sangat sehat, bahkan di tengah kondisi krisis nasional. hal ini yang kemudian menarik perhatian ocbc bank singapura untuk masuk sebagai pemegang saham pengendali dan membawa peringkat bank naik dari di atas 30 menjadi top 10 bank terbesar di indonesia. adapun visi dalam </w:t>
      </w:r>
      <w:r>
        <w:rPr>
          <w:rFonts w:ascii="Times New Roman" w:hAnsi="Times New Roman" w:eastAsia="Times New Roman" w:cs="Times New Roman"/>
          <w:color w:val="000000"/>
          <w:sz w:val="24"/>
          <w:szCs w:val="24"/>
        </w:rPr>
        <w:t xml:space="preserve">bank ocbc nisp ini adalah </w:t>
      </w:r>
      <w:r>
        <w:rPr>
          <w:rFonts w:ascii="Times New Roman" w:hAnsi="Times New Roman" w:cs="Times New Roman"/>
          <w:sz w:val="24"/>
          <w:szCs w:val="24"/>
        </w:rPr>
        <w:t xml:space="preserve">menjadi bank pilihan denganstandar dunia yang diakui kepeduliannya dan terpercaya. Sedangkan misi dalam </w:t>
      </w:r>
      <w:r>
        <w:rPr>
          <w:rFonts w:ascii="Times New Roman" w:hAnsi="Times New Roman" w:eastAsia="Times New Roman" w:cs="Times New Roman"/>
          <w:color w:val="000000"/>
          <w:sz w:val="24"/>
          <w:szCs w:val="24"/>
        </w:rPr>
        <w:t>bank ocbc nisp ini adalah :</w:t>
      </w:r>
    </w:p>
    <w:p>
      <w:pPr>
        <w:pStyle w:val="23"/>
        <w:numPr>
          <w:ilvl w:val="0"/>
          <w:numId w:val="63"/>
        </w:numPr>
        <w:tabs>
          <w:tab w:val="left" w:pos="2865"/>
        </w:tabs>
        <w:rPr>
          <w:rFonts w:ascii="Times New Roman" w:hAnsi="Times New Roman" w:cs="Times New Roman"/>
          <w:sz w:val="24"/>
          <w:szCs w:val="24"/>
        </w:rPr>
      </w:pPr>
      <w:r>
        <w:rPr>
          <w:rFonts w:ascii="Times New Roman" w:hAnsi="Times New Roman" w:cs="Times New Roman"/>
          <w:sz w:val="24"/>
          <w:szCs w:val="24"/>
        </w:rPr>
        <w:t>Menyediakan dan mengembangkan pelayanan keuangan yang inovatif, berkualitas dan melebihi harapan masyarakat yang dinamik dengan hasil terbaik</w:t>
      </w:r>
    </w:p>
    <w:p>
      <w:pPr>
        <w:pStyle w:val="23"/>
        <w:numPr>
          <w:ilvl w:val="0"/>
          <w:numId w:val="63"/>
        </w:numPr>
        <w:tabs>
          <w:tab w:val="left" w:pos="2865"/>
        </w:tabs>
        <w:rPr>
          <w:rFonts w:ascii="Times New Roman" w:hAnsi="Times New Roman" w:cs="Times New Roman"/>
          <w:sz w:val="24"/>
          <w:szCs w:val="24"/>
        </w:rPr>
      </w:pPr>
      <w:r>
        <w:rPr>
          <w:rFonts w:ascii="Times New Roman" w:hAnsi="Times New Roman" w:cs="Times New Roman"/>
          <w:sz w:val="24"/>
          <w:szCs w:val="24"/>
        </w:rPr>
        <w:t>Membina jejaring kerja sama saling menguntungkan yang dilandasi rasa saling percaya.</w:t>
      </w:r>
    </w:p>
    <w:p>
      <w:pPr>
        <w:pStyle w:val="23"/>
        <w:numPr>
          <w:ilvl w:val="0"/>
          <w:numId w:val="63"/>
        </w:numPr>
        <w:tabs>
          <w:tab w:val="left" w:pos="2865"/>
        </w:tabs>
        <w:rPr>
          <w:rFonts w:ascii="Times New Roman" w:hAnsi="Times New Roman" w:cs="Times New Roman"/>
          <w:sz w:val="24"/>
          <w:szCs w:val="24"/>
        </w:rPr>
      </w:pPr>
      <w:r>
        <w:rPr>
          <w:rFonts w:ascii="Times New Roman" w:hAnsi="Times New Roman" w:cs="Times New Roman"/>
          <w:sz w:val="24"/>
          <w:szCs w:val="24"/>
        </w:rPr>
        <w:t>Menciptakan lingkungan kerja yang meningkatkan profesionalisme dan mendorong pembaruan organisasional dengan semangat kekeluargaan.</w:t>
      </w:r>
    </w:p>
    <w:p>
      <w:pPr>
        <w:pStyle w:val="23"/>
        <w:numPr>
          <w:ilvl w:val="0"/>
          <w:numId w:val="63"/>
        </w:numPr>
        <w:tabs>
          <w:tab w:val="left" w:pos="2865"/>
        </w:tabs>
        <w:rPr>
          <w:rFonts w:ascii="Times New Roman" w:hAnsi="Times New Roman" w:cs="Times New Roman"/>
          <w:sz w:val="24"/>
          <w:szCs w:val="24"/>
        </w:rPr>
      </w:pPr>
      <w:r>
        <w:rPr>
          <w:rFonts w:ascii="Times New Roman" w:hAnsi="Times New Roman" w:cs="Times New Roman"/>
          <w:sz w:val="24"/>
          <w:szCs w:val="24"/>
        </w:rPr>
        <w:t>Membangun kepercayaan publik melalui perilaku beretika, peduli dan hati-hati</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National Nobu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Perseroan didirikan pada tahun 1990 sebagai Bank Umum Swasta Nasional (BUSN) Non Devisa. Pada tahun 2010, PT Kharisma Buana Nusantara, perusahaan yang 99% sahamnya dimiliki oleh Bapak Mochtar Riady, mengakuisisi 60% saham Perseroan yang kala itu memiliki 4 kantor cabang. Adapun visi dalam </w:t>
      </w:r>
      <w:r>
        <w:rPr>
          <w:rFonts w:ascii="Times New Roman" w:hAnsi="Times New Roman" w:eastAsia="Times New Roman" w:cs="Times New Roman"/>
          <w:color w:val="000000"/>
          <w:sz w:val="24"/>
          <w:szCs w:val="24"/>
        </w:rPr>
        <w:t xml:space="preserve">Bank Ocbc Nisp ini adalah </w:t>
      </w:r>
      <w:r>
        <w:rPr>
          <w:rFonts w:ascii="Times New Roman" w:hAnsi="Times New Roman" w:cs="Times New Roman"/>
          <w:sz w:val="24"/>
          <w:szCs w:val="24"/>
        </w:rPr>
        <w:t>Menjadi bank dengan standar global yang dapat memberikan kontribusi positif pada perekonomian dan perbankan Indonesia serta menjunjung tinggi kepercayaandan kepuasan nasabah. Sedangkan misi dalam</w:t>
      </w:r>
      <w:r>
        <w:rPr>
          <w:rFonts w:ascii="Times New Roman" w:hAnsi="Times New Roman" w:eastAsia="Times New Roman" w:cs="Times New Roman"/>
          <w:color w:val="000000"/>
          <w:sz w:val="24"/>
          <w:szCs w:val="24"/>
        </w:rPr>
        <w:t xml:space="preserve"> Bank National Nobu ini adalah :</w:t>
      </w:r>
    </w:p>
    <w:p>
      <w:pPr>
        <w:pStyle w:val="23"/>
        <w:numPr>
          <w:ilvl w:val="0"/>
          <w:numId w:val="64"/>
        </w:numPr>
        <w:tabs>
          <w:tab w:val="left" w:pos="2865"/>
        </w:tabs>
        <w:rPr>
          <w:rFonts w:ascii="Times New Roman" w:hAnsi="Times New Roman" w:cs="Times New Roman"/>
          <w:sz w:val="24"/>
          <w:szCs w:val="24"/>
        </w:rPr>
      </w:pPr>
      <w:r>
        <w:rPr>
          <w:rFonts w:ascii="Times New Roman" w:hAnsi="Times New Roman" w:cs="Times New Roman"/>
          <w:sz w:val="24"/>
          <w:szCs w:val="24"/>
        </w:rPr>
        <w:t>Menjalankan fungsinya sebagai Bank dalam menghimpun dan menyalurkan dana dengan memprioritaskan pelayanan kepada Segmen Usaha Kecil dan Menengah (UKM) dan Digital Consumer, dalam menunjang pembangunan ekonomi nasional dan membantu meningkatkan daya saing dan kompetensi dunia UKM dalam era globalisasi serta era digital.</w:t>
      </w:r>
    </w:p>
    <w:p>
      <w:pPr>
        <w:pStyle w:val="23"/>
        <w:numPr>
          <w:ilvl w:val="0"/>
          <w:numId w:val="64"/>
        </w:numPr>
        <w:tabs>
          <w:tab w:val="left" w:pos="2865"/>
        </w:tabs>
        <w:rPr>
          <w:rFonts w:ascii="Times New Roman" w:hAnsi="Times New Roman" w:cs="Times New Roman"/>
          <w:sz w:val="24"/>
          <w:szCs w:val="24"/>
        </w:rPr>
      </w:pPr>
      <w:r>
        <w:rPr>
          <w:rFonts w:ascii="Times New Roman" w:hAnsi="Times New Roman" w:cs="Times New Roman"/>
          <w:sz w:val="24"/>
          <w:szCs w:val="24"/>
        </w:rPr>
        <w:t>Memberikan pelayanan prima kepada nasabah yang didukung tenaga kerja profesional dengan melakukan praktek tata kelola perusahaan yang baik (</w:t>
      </w:r>
      <w:r>
        <w:rPr>
          <w:rFonts w:ascii="Times New Roman" w:hAnsi="Times New Roman" w:cs="Times New Roman"/>
          <w:i/>
          <w:sz w:val="24"/>
          <w:szCs w:val="24"/>
        </w:rPr>
        <w:t>Good Corporate Governance</w:t>
      </w:r>
      <w:r>
        <w:rPr>
          <w:rFonts w:ascii="Times New Roman" w:hAnsi="Times New Roman" w:cs="Times New Roman"/>
          <w:sz w:val="24"/>
          <w:szCs w:val="24"/>
        </w:rPr>
        <w:t>)</w:t>
      </w:r>
    </w:p>
    <w:p>
      <w:pPr>
        <w:tabs>
          <w:tab w:val="left" w:pos="2865"/>
        </w:tabs>
        <w:rPr>
          <w:rFonts w:ascii="Times New Roman" w:hAnsi="Times New Roman" w:cs="Times New Roman"/>
          <w:sz w:val="24"/>
          <w:szCs w:val="24"/>
        </w:rPr>
      </w:pPr>
    </w:p>
    <w:p>
      <w:pPr>
        <w:tabs>
          <w:tab w:val="left" w:pos="2865"/>
        </w:tabs>
        <w:rPr>
          <w:rFonts w:ascii="Times New Roman" w:hAnsi="Times New Roman" w:cs="Times New Roman"/>
          <w:sz w:val="24"/>
          <w:szCs w:val="24"/>
        </w:rPr>
      </w:pP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Pan Indonesia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Bank Pan Indonesia Tbk, atau PaninBank didirikan dari penggabungan usaha Bank Kemakmuran, Bank Industri Djaja dan Bank Industri dan Dagang Indonesia pada 1971 dengan Akte No. 85 dibuat dihadapan Julian Nimrod Siregar gelar Mangaradja Namora S.H., Notaris di Jakarta. Adapun Visi dalam </w:t>
      </w:r>
      <w:r>
        <w:rPr>
          <w:rFonts w:ascii="Times New Roman" w:hAnsi="Times New Roman" w:eastAsia="Times New Roman" w:cs="Times New Roman"/>
          <w:color w:val="000000"/>
          <w:sz w:val="24"/>
          <w:szCs w:val="24"/>
        </w:rPr>
        <w:t xml:space="preserve">Bank Pan Indonesia ini adalah </w:t>
      </w:r>
      <w:r>
        <w:rPr>
          <w:rStyle w:val="25"/>
          <w:rFonts w:ascii="Times New Roman" w:hAnsi="Times New Roman" w:cs="Times New Roman"/>
          <w:sz w:val="24"/>
          <w:szCs w:val="24"/>
        </w:rPr>
        <w:t>menjadi "</w:t>
      </w:r>
      <w:r>
        <w:rPr>
          <w:rStyle w:val="25"/>
          <w:rFonts w:ascii="Times New Roman" w:hAnsi="Times New Roman" w:cs="Times New Roman"/>
          <w:bCs/>
          <w:sz w:val="24"/>
          <w:szCs w:val="24"/>
        </w:rPr>
        <w:t>Bank</w:t>
      </w:r>
      <w:r>
        <w:rPr>
          <w:rStyle w:val="25"/>
          <w:rFonts w:ascii="Times New Roman" w:hAnsi="Times New Roman" w:cs="Times New Roman"/>
          <w:sz w:val="24"/>
          <w:szCs w:val="24"/>
        </w:rPr>
        <w:t xml:space="preserve"> Nasional" dalam Arsitektur </w:t>
      </w:r>
      <w:r>
        <w:rPr>
          <w:rStyle w:val="25"/>
          <w:rFonts w:ascii="Times New Roman" w:hAnsi="Times New Roman" w:cs="Times New Roman"/>
          <w:bCs/>
          <w:sz w:val="24"/>
          <w:szCs w:val="24"/>
        </w:rPr>
        <w:t>Perbankan</w:t>
      </w:r>
      <w:r>
        <w:rPr>
          <w:rStyle w:val="25"/>
          <w:rFonts w:ascii="Times New Roman" w:hAnsi="Times New Roman" w:cs="Times New Roman"/>
          <w:sz w:val="24"/>
          <w:szCs w:val="24"/>
        </w:rPr>
        <w:t xml:space="preserve"> Indonesia di masa datang. Sedangkan misi dalam </w:t>
      </w:r>
      <w:r>
        <w:rPr>
          <w:rFonts w:ascii="Times New Roman" w:hAnsi="Times New Roman" w:eastAsia="Times New Roman" w:cs="Times New Roman"/>
          <w:color w:val="000000"/>
          <w:sz w:val="24"/>
          <w:szCs w:val="24"/>
        </w:rPr>
        <w:t>Bank Pan Indonesia ini adalah :</w:t>
      </w:r>
    </w:p>
    <w:p>
      <w:pPr>
        <w:pStyle w:val="23"/>
        <w:numPr>
          <w:ilvl w:val="0"/>
          <w:numId w:val="65"/>
        </w:numPr>
        <w:tabs>
          <w:tab w:val="left" w:pos="2865"/>
        </w:tabs>
        <w:rPr>
          <w:rStyle w:val="25"/>
          <w:rFonts w:ascii="Times New Roman" w:hAnsi="Times New Roman" w:cs="Times New Roman"/>
          <w:sz w:val="24"/>
          <w:szCs w:val="24"/>
        </w:rPr>
      </w:pPr>
      <w:r>
        <w:rPr>
          <w:rStyle w:val="25"/>
          <w:rFonts w:ascii="Times New Roman" w:hAnsi="Times New Roman" w:cs="Times New Roman"/>
          <w:sz w:val="24"/>
          <w:szCs w:val="24"/>
        </w:rPr>
        <w:t>Memuaskan kebutuhan nasabah dengan menyediakan pengalaman berharga seumur hidup.</w:t>
      </w:r>
    </w:p>
    <w:p>
      <w:pPr>
        <w:pStyle w:val="23"/>
        <w:numPr>
          <w:ilvl w:val="0"/>
          <w:numId w:val="65"/>
        </w:numPr>
        <w:tabs>
          <w:tab w:val="left" w:pos="2865"/>
        </w:tabs>
        <w:rPr>
          <w:rStyle w:val="25"/>
          <w:rFonts w:ascii="Times New Roman" w:hAnsi="Times New Roman" w:cs="Times New Roman"/>
          <w:sz w:val="24"/>
          <w:szCs w:val="24"/>
        </w:rPr>
      </w:pPr>
      <w:r>
        <w:rPr>
          <w:rStyle w:val="25"/>
          <w:rFonts w:ascii="Times New Roman" w:hAnsi="Times New Roman" w:cs="Times New Roman"/>
          <w:sz w:val="24"/>
          <w:szCs w:val="24"/>
        </w:rPr>
        <w:t>Membangun hubungan jangka panjang yang saling menguntungkan berdasarkan rasa saling menghargai.</w:t>
      </w:r>
    </w:p>
    <w:p>
      <w:pPr>
        <w:pStyle w:val="23"/>
        <w:numPr>
          <w:ilvl w:val="0"/>
          <w:numId w:val="65"/>
        </w:numPr>
        <w:tabs>
          <w:tab w:val="left" w:pos="2865"/>
        </w:tabs>
        <w:rPr>
          <w:rStyle w:val="25"/>
          <w:rFonts w:ascii="Times New Roman" w:hAnsi="Times New Roman" w:cs="Times New Roman"/>
          <w:sz w:val="24"/>
          <w:szCs w:val="24"/>
        </w:rPr>
      </w:pPr>
      <w:r>
        <w:rPr>
          <w:rStyle w:val="25"/>
          <w:rFonts w:ascii="Times New Roman" w:hAnsi="Times New Roman" w:cs="Times New Roman"/>
          <w:sz w:val="24"/>
          <w:szCs w:val="24"/>
        </w:rPr>
        <w:t>Menciptakan lingkungan yang mampu membuat karyawan bertumbuh.</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Panin Dubai Syariah Tbk</w:t>
      </w:r>
    </w:p>
    <w:p>
      <w:pPr>
        <w:tabs>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PT Bank Panin Dubai Syariah, Tbk atau Panin Dubai Syariah Bank (Perseroan) semula bernama PT Bank Pasar Bersaudara Djaja sesuai dengan akta berdirinya yang dibuat oleh Moeslim Dalidd, notaris di Malang, yaitu Akta Perseroan Bank Terbatas No. 12 tanggal 8 Januari 1972. Perseroan telah beberapa kali melakukan perubahan nama, berturut-turut dimulai dengan nama PT Bank Bersaudara Djaja. Perubahan nama tersebut didasarkan pada Akta Berita Acara Rapat No. 25 tanggal 8 Januari 1990, yang dibuat oleh Indrawati Setiabudhi, S.H., notaris di Malang. Kemudian, berdasarkan Akta Berita Acara No. 27 tanggal 27 Maret 1997 yang dibuat oleh Alfian Yahya, S.H., notaris di Surabaya, Perseroan kembali berganti nama menjadi PT. Bank Harfa. Kemudian, nama tersebut kembali mengalami perubahan menjadi PT. Bank Panin Syariah berdasarkan Akta Berita Acara RUPS Luar Biasa No. 1 tanggal 3 Agustus 2009, yang dibuat oleh Drs. Bambang Tedjo Anggono Budi, S,H., M.Kn., pengganti dari Sutjipto, S.H., notaris di Jakarta. Perubahan tersebut sehubungan perubahan kegiatan usaha Perseroan dari semula menjalankan kegiatan usaha perbankan konvensional menjadi kegiatan usaha perbankan Syariah dengan prinsip bagi hasil berdasarkan syariat Islam. Adapun visi dalam </w:t>
      </w:r>
      <w:r>
        <w:rPr>
          <w:rFonts w:ascii="Times New Roman" w:hAnsi="Times New Roman" w:eastAsia="Times New Roman" w:cs="Times New Roman"/>
          <w:color w:val="000000"/>
          <w:sz w:val="24"/>
          <w:szCs w:val="24"/>
        </w:rPr>
        <w:t xml:space="preserve">Bank Panin Dubai Syariah ini adalah </w:t>
      </w:r>
      <w:r>
        <w:rPr>
          <w:rFonts w:ascii="Times New Roman" w:hAnsi="Times New Roman" w:cs="Times New Roman"/>
          <w:sz w:val="24"/>
          <w:szCs w:val="24"/>
        </w:rPr>
        <w:t xml:space="preserve">Menjadi bank Syariah progresif di Indonesia yang menawarkan produk dan layanan keuangan komprehensif dan inovatif. Sedangkan misi dalam </w:t>
      </w:r>
      <w:r>
        <w:rPr>
          <w:rFonts w:ascii="Times New Roman" w:hAnsi="Times New Roman" w:eastAsia="Times New Roman" w:cs="Times New Roman"/>
          <w:color w:val="000000"/>
          <w:sz w:val="24"/>
          <w:szCs w:val="24"/>
        </w:rPr>
        <w:t>Bank Panin Dubai Syariah ini adalah :</w:t>
      </w:r>
    </w:p>
    <w:p>
      <w:pPr>
        <w:pStyle w:val="23"/>
        <w:numPr>
          <w:ilvl w:val="0"/>
          <w:numId w:val="66"/>
        </w:numPr>
        <w:tabs>
          <w:tab w:val="left" w:pos="2865"/>
        </w:tabs>
        <w:rPr>
          <w:rFonts w:ascii="Times New Roman" w:hAnsi="Times New Roman" w:cs="Times New Roman"/>
          <w:sz w:val="24"/>
          <w:szCs w:val="24"/>
        </w:rPr>
      </w:pPr>
      <w:r>
        <w:rPr>
          <w:rFonts w:ascii="Times New Roman" w:hAnsi="Times New Roman" w:cs="Times New Roman"/>
          <w:sz w:val="24"/>
          <w:szCs w:val="24"/>
        </w:rPr>
        <w:t>Peran aktif Perseroan dalam bekerjasama dengan Regulator Secara profesional mewujudkan Perseroan sebagai bank Syariah yang lebih sehat dengan tata kelola yang baik serta pertumbuhan berkelanjutan</w:t>
      </w:r>
    </w:p>
    <w:p>
      <w:pPr>
        <w:pStyle w:val="23"/>
        <w:numPr>
          <w:ilvl w:val="0"/>
          <w:numId w:val="66"/>
        </w:numPr>
        <w:tabs>
          <w:tab w:val="left" w:pos="2865"/>
        </w:tabs>
        <w:rPr>
          <w:rFonts w:ascii="Times New Roman" w:hAnsi="Times New Roman" w:cs="Times New Roman"/>
          <w:sz w:val="24"/>
          <w:szCs w:val="24"/>
        </w:rPr>
      </w:pPr>
      <w:r>
        <w:rPr>
          <w:rFonts w:ascii="Times New Roman" w:hAnsi="Times New Roman" w:cs="Times New Roman"/>
          <w:sz w:val="24"/>
          <w:szCs w:val="24"/>
        </w:rPr>
        <w:t>Perspektif nasabah: Mewujudkan Perseroan sebagai bank pilihan dalam pengembangan usaha melalui poduk-produk dan layanan unggulan yang dapat berkompetisi dengan produk-produk bank Syariah maupun konvensional lain.</w:t>
      </w:r>
    </w:p>
    <w:p>
      <w:pPr>
        <w:pStyle w:val="23"/>
        <w:numPr>
          <w:ilvl w:val="0"/>
          <w:numId w:val="66"/>
        </w:numPr>
        <w:tabs>
          <w:tab w:val="left" w:pos="2865"/>
        </w:tabs>
        <w:rPr>
          <w:rFonts w:ascii="Times New Roman" w:hAnsi="Times New Roman" w:cs="Times New Roman"/>
          <w:sz w:val="24"/>
          <w:szCs w:val="24"/>
        </w:rPr>
      </w:pPr>
      <w:r>
        <w:rPr>
          <w:rFonts w:ascii="Times New Roman" w:hAnsi="Times New Roman" w:cs="Times New Roman"/>
          <w:sz w:val="24"/>
          <w:szCs w:val="24"/>
        </w:rPr>
        <w:t>Perspektif SDM/staff: Mewujudkan Perseroan sebagai bank pilihan bagi para profesional, yang memberikan kesempatan pengembangan karier dalam industri perbankan Syariah melalui semangat kebersamaan dan kesinambungan lingkungan sosial.</w:t>
      </w:r>
    </w:p>
    <w:p>
      <w:pPr>
        <w:pStyle w:val="23"/>
        <w:numPr>
          <w:ilvl w:val="0"/>
          <w:numId w:val="66"/>
        </w:numPr>
        <w:tabs>
          <w:tab w:val="left" w:pos="2865"/>
        </w:tabs>
        <w:rPr>
          <w:rFonts w:ascii="Times New Roman" w:hAnsi="Times New Roman" w:cs="Times New Roman"/>
          <w:sz w:val="24"/>
          <w:szCs w:val="24"/>
        </w:rPr>
      </w:pPr>
      <w:r>
        <w:rPr>
          <w:rFonts w:ascii="Times New Roman" w:hAnsi="Times New Roman" w:cs="Times New Roman"/>
          <w:sz w:val="24"/>
          <w:szCs w:val="24"/>
        </w:rPr>
        <w:t>Perspektif pemegang saham: Mewujudkan Perseroan sebagai bank Syariah yang dapat memberikan nilai tambah bagi pemegang saham melalui kinerja profitabilitas yang baik di tandai dengan ROA dan ROE terukur.</w:t>
      </w:r>
    </w:p>
    <w:p>
      <w:pPr>
        <w:pStyle w:val="23"/>
        <w:numPr>
          <w:ilvl w:val="0"/>
          <w:numId w:val="66"/>
        </w:numPr>
        <w:tabs>
          <w:tab w:val="left" w:pos="2865"/>
        </w:tabs>
        <w:rPr>
          <w:rFonts w:ascii="Times New Roman" w:hAnsi="Times New Roman" w:cs="Times New Roman"/>
          <w:sz w:val="24"/>
          <w:szCs w:val="24"/>
        </w:rPr>
      </w:pPr>
      <w:r>
        <w:rPr>
          <w:rFonts w:ascii="Times New Roman" w:hAnsi="Times New Roman" w:cs="Times New Roman"/>
          <w:sz w:val="24"/>
          <w:szCs w:val="24"/>
        </w:rPr>
        <w:t>IT Support: Mewujudkan Perseroan sebagai perseroan yang unggul dalam pelayanan Syariah berbasis teknologi informasi yang memberikan pelayanan yang baik dan berkualitas bagi para nasabah</w:t>
      </w:r>
    </w:p>
    <w:p>
      <w:pPr>
        <w:pStyle w:val="23"/>
        <w:numPr>
          <w:ilvl w:val="0"/>
          <w:numId w:val="25"/>
        </w:numPr>
        <w:tabs>
          <w:tab w:val="left" w:pos="2865"/>
        </w:tabs>
        <w:rPr>
          <w:rFonts w:ascii="Times New Roman" w:hAnsi="Times New Roman" w:cs="Times New Roman"/>
          <w:b/>
          <w:sz w:val="24"/>
          <w:szCs w:val="24"/>
        </w:rPr>
      </w:pPr>
      <w:r>
        <w:rPr>
          <w:rFonts w:ascii="Times New Roman" w:hAnsi="Times New Roman" w:eastAsia="Times New Roman" w:cs="Times New Roman"/>
          <w:b/>
          <w:color w:val="000000"/>
          <w:sz w:val="24"/>
          <w:szCs w:val="24"/>
        </w:rPr>
        <w:t>PT Bank Woori Saudara Indonesia Tbk</w:t>
      </w:r>
    </w:p>
    <w:p>
      <w:pPr>
        <w:tabs>
          <w:tab w:val="left" w:pos="2865"/>
        </w:tabs>
        <w:ind w:firstLine="720"/>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Bank Woori Saudara Indonesia 1906, Tbk, selanjutnya disebut “BWS”, “Bank”, atau “Perseroan”, bermula pada tahun 1906 ketika Organisasi Saudagar Passer Baroe yang diprakarsai oleh H. Basoeni, H. Damiri, dan H. Bajoen, bersama tujuh saudagar lainnya, mendirikan organisasi di bidang ekonomi bernama Himpoenan Soedara (“HS”), yang bertujuan untuk menyalurkan usaha jasa keuangan secara simpan-pinjam. Organisasi ini memperoleh pengesahan sebagai “Vereeniging” atau “Perkumpulan” berdasarkan peraturan pada zaman kolonial Belanda yaitu Keputusan Pemerintah Umum No. 33 tanggal 4 Oktober 1913 yang telah diubah dan disahkan terakhir berdasarkan Keputusan Umum No. 15 tanggal 16 Oktober 1935. Perkumpulan Himpoenan Soedara secara resmi mendapatkan izin untuk melakukan kegiatan usaha sebagai Bank Tabungan berdasarkan Surat Keputusan Menteri Keuangan Republik Indonesia No. 249.542/U.M II tanggal 11 November 1955. Adapun visi dalam </w:t>
      </w:r>
      <w:r>
        <w:rPr>
          <w:rFonts w:ascii="Times New Roman" w:hAnsi="Times New Roman" w:eastAsia="Times New Roman" w:cs="Times New Roman"/>
          <w:color w:val="000000"/>
          <w:sz w:val="24"/>
          <w:szCs w:val="24"/>
        </w:rPr>
        <w:t xml:space="preserve">Woori Saudara Indonesia </w:t>
      </w:r>
      <w:r>
        <w:rPr>
          <w:rFonts w:ascii="Times New Roman" w:hAnsi="Times New Roman" w:cs="Times New Roman"/>
          <w:sz w:val="24"/>
          <w:szCs w:val="24"/>
        </w:rPr>
        <w:t xml:space="preserve">Menjadi Bank yang Kompetitif dan Sehat. Sedangkan Misi dalam </w:t>
      </w:r>
      <w:r>
        <w:rPr>
          <w:rFonts w:ascii="Times New Roman" w:hAnsi="Times New Roman" w:eastAsia="Times New Roman" w:cs="Times New Roman"/>
          <w:color w:val="000000"/>
          <w:sz w:val="24"/>
          <w:szCs w:val="24"/>
        </w:rPr>
        <w:t>Bank Woori Saudara Indonesia ini adalah :</w:t>
      </w:r>
    </w:p>
    <w:p>
      <w:pPr>
        <w:pStyle w:val="23"/>
        <w:numPr>
          <w:ilvl w:val="0"/>
          <w:numId w:val="67"/>
        </w:numPr>
        <w:tabs>
          <w:tab w:val="left" w:pos="2865"/>
        </w:tabs>
        <w:rPr>
          <w:rFonts w:ascii="Times New Roman" w:hAnsi="Times New Roman" w:cs="Times New Roman"/>
          <w:sz w:val="24"/>
          <w:szCs w:val="24"/>
        </w:rPr>
      </w:pPr>
      <w:r>
        <w:rPr>
          <w:rFonts w:ascii="Times New Roman" w:hAnsi="Times New Roman" w:cs="Times New Roman"/>
          <w:sz w:val="24"/>
          <w:szCs w:val="24"/>
        </w:rPr>
        <w:t>Diversifikasi portofolio bisnis</w:t>
      </w:r>
    </w:p>
    <w:p>
      <w:pPr>
        <w:pStyle w:val="23"/>
        <w:numPr>
          <w:ilvl w:val="0"/>
          <w:numId w:val="67"/>
        </w:numPr>
        <w:tabs>
          <w:tab w:val="left" w:pos="2865"/>
        </w:tabs>
        <w:rPr>
          <w:rFonts w:ascii="Times New Roman" w:hAnsi="Times New Roman" w:cs="Times New Roman"/>
          <w:sz w:val="24"/>
          <w:szCs w:val="24"/>
        </w:rPr>
      </w:pPr>
      <w:r>
        <w:rPr>
          <w:rFonts w:ascii="Times New Roman" w:hAnsi="Times New Roman" w:cs="Times New Roman"/>
          <w:sz w:val="24"/>
          <w:szCs w:val="24"/>
        </w:rPr>
        <w:t>Memperkaya Pelayanan Pelanggan dan Pengembangan Bisnis yang Baru</w:t>
      </w:r>
    </w:p>
    <w:p>
      <w:pPr>
        <w:pStyle w:val="23"/>
        <w:numPr>
          <w:ilvl w:val="0"/>
          <w:numId w:val="67"/>
        </w:numPr>
        <w:tabs>
          <w:tab w:val="left" w:pos="2865"/>
        </w:tabs>
        <w:rPr>
          <w:rFonts w:ascii="Times New Roman" w:hAnsi="Times New Roman" w:cs="Times New Roman"/>
          <w:sz w:val="24"/>
          <w:szCs w:val="24"/>
        </w:rPr>
      </w:pPr>
      <w:r>
        <w:rPr>
          <w:rFonts w:ascii="Times New Roman" w:hAnsi="Times New Roman" w:cs="Times New Roman"/>
          <w:sz w:val="24"/>
          <w:szCs w:val="24"/>
        </w:rPr>
        <w:t>Menciptakan Manajemen yang Efektif dan Meningkatkan Kapabilitas Sumber Daya Manusia</w:t>
      </w:r>
    </w:p>
    <w:p>
      <w:pPr>
        <w:pStyle w:val="23"/>
        <w:numPr>
          <w:ilvl w:val="1"/>
          <w:numId w:val="63"/>
        </w:numPr>
        <w:tabs>
          <w:tab w:val="left" w:pos="0"/>
          <w:tab w:val="left" w:pos="720"/>
          <w:tab w:val="left" w:pos="2865"/>
        </w:tabs>
        <w:ind w:hanging="720"/>
        <w:rPr>
          <w:rFonts w:ascii="Times New Roman" w:hAnsi="Times New Roman" w:cs="Times New Roman"/>
          <w:b/>
          <w:i/>
          <w:sz w:val="24"/>
          <w:szCs w:val="24"/>
        </w:rPr>
      </w:pPr>
      <w:r>
        <w:rPr>
          <w:rFonts w:ascii="Times New Roman" w:hAnsi="Times New Roman" w:cs="Times New Roman"/>
          <w:b/>
          <w:sz w:val="24"/>
          <w:szCs w:val="24"/>
        </w:rPr>
        <w:t>DESKRIPSI VARIABEL PENELITIAN</w:t>
      </w:r>
    </w:p>
    <w:p>
      <w:pPr>
        <w:tabs>
          <w:tab w:val="left" w:pos="0"/>
          <w:tab w:val="left" w:pos="720"/>
          <w:tab w:val="left" w:pos="2865"/>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Penelitian yang dilakukan ini menggunakana alat analisis regresi berganda serta pengujiam hipotesis. Pengindentifikasian </w:t>
      </w:r>
      <w:r>
        <w:rPr>
          <w:rFonts w:ascii="Times New Roman" w:hAnsi="Times New Roman" w:cs="Times New Roman"/>
          <w:i/>
          <w:sz w:val="24"/>
          <w:szCs w:val="24"/>
        </w:rPr>
        <w:t>Invesment Opportunity Set</w:t>
      </w:r>
      <w:r>
        <w:rPr>
          <w:rFonts w:ascii="Times New Roman" w:hAnsi="Times New Roman" w:cs="Times New Roman"/>
          <w:sz w:val="24"/>
          <w:szCs w:val="24"/>
        </w:rPr>
        <w:t xml:space="preserve"> pada penelitian ini dilakukan dengan menggunakan model pengukuran </w:t>
      </w:r>
      <w:r>
        <w:rPr>
          <w:rFonts w:ascii="Times New Roman" w:hAnsi="Times New Roman" w:eastAsia="Times New Roman" w:cs="Times New Roman"/>
          <w:i/>
          <w:sz w:val="24"/>
          <w:szCs w:val="24"/>
        </w:rPr>
        <w:t xml:space="preserve">Market to book value of equity </w:t>
      </w:r>
      <w:r>
        <w:rPr>
          <w:rStyle w:val="25"/>
          <w:rFonts w:ascii="Times New Roman" w:hAnsi="Times New Roman" w:cs="Times New Roman"/>
          <w:i/>
          <w:sz w:val="24"/>
          <w:szCs w:val="24"/>
        </w:rPr>
        <w:t>(MBVE),</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 xml:space="preserve">dan </w:t>
      </w:r>
      <w:r>
        <w:rPr>
          <w:rStyle w:val="25"/>
          <w:rFonts w:ascii="Times New Roman" w:hAnsi="Times New Roman" w:cs="Times New Roman"/>
          <w:i/>
          <w:sz w:val="24"/>
          <w:szCs w:val="24"/>
        </w:rPr>
        <w:t xml:space="preserve">Capital Expenditure to Book Value of Asset </w:t>
      </w:r>
      <w:r>
        <w:rPr>
          <w:rStyle w:val="25"/>
          <w:rFonts w:ascii="Times New Roman" w:hAnsi="Times New Roman" w:cs="Times New Roman"/>
          <w:sz w:val="24"/>
          <w:szCs w:val="24"/>
        </w:rPr>
        <w:t xml:space="preserve">(CAPBVA) dan </w:t>
      </w:r>
      <w:r>
        <w:rPr>
          <w:rStyle w:val="25"/>
          <w:rFonts w:ascii="Times New Roman" w:hAnsi="Times New Roman" w:cs="Times New Roman"/>
          <w:i/>
          <w:sz w:val="24"/>
          <w:szCs w:val="24"/>
        </w:rPr>
        <w:t xml:space="preserve">Corporate Social Responbility </w:t>
      </w:r>
      <w:r>
        <w:rPr>
          <w:rStyle w:val="25"/>
          <w:rFonts w:ascii="Times New Roman" w:hAnsi="Times New Roman" w:cs="Times New Roman"/>
          <w:sz w:val="24"/>
          <w:szCs w:val="24"/>
        </w:rPr>
        <w:t xml:space="preserve">pada penelitian ini dilakukan dengan menggunakan model pengukuran </w:t>
      </w:r>
      <w:r>
        <w:rPr>
          <w:rFonts w:ascii="Times New Roman" w:hAnsi="Times New Roman" w:cs="Times New Roman"/>
          <w:i/>
          <w:sz w:val="24"/>
          <w:szCs w:val="24"/>
        </w:rPr>
        <w:t>Corporate Social Responsibility Disclosure Index</w:t>
      </w:r>
      <w:r>
        <w:rPr>
          <w:rFonts w:ascii="Times New Roman" w:hAnsi="Times New Roman" w:cs="Times New Roman"/>
          <w:sz w:val="24"/>
          <w:szCs w:val="24"/>
        </w:rPr>
        <w:t xml:space="preserve"> (CSRDI) serta risiko bisnis pada penelitian ini dilakukan dengan metode pengukuran EBIT ( </w:t>
      </w:r>
      <w:r>
        <w:rPr>
          <w:rFonts w:ascii="Times New Roman" w:hAnsi="Times New Roman" w:cs="Times New Roman"/>
          <w:i/>
          <w:sz w:val="24"/>
          <w:szCs w:val="24"/>
        </w:rPr>
        <w:t>earning before interest and taxes)</w:t>
      </w:r>
      <w:r>
        <w:rPr>
          <w:rFonts w:ascii="Times New Roman" w:hAnsi="Times New Roman" w:cs="Times New Roman"/>
          <w:sz w:val="24"/>
          <w:szCs w:val="24"/>
        </w:rPr>
        <w:t xml:space="preserve"> dan total aset sebagai variabel independen. sedangkan variabe dependen dalam penelitian ini yaitu nilai perusahaan yang menggunakan </w:t>
      </w:r>
      <w:r>
        <w:rPr>
          <w:rFonts w:ascii="Times New Roman" w:hAnsi="Times New Roman" w:cs="Times New Roman"/>
          <w:i/>
          <w:sz w:val="24"/>
          <w:szCs w:val="24"/>
        </w:rPr>
        <w:t>price book value</w:t>
      </w:r>
      <w:r>
        <w:rPr>
          <w:rFonts w:ascii="Times New Roman" w:hAnsi="Times New Roman" w:cs="Times New Roman"/>
          <w:sz w:val="24"/>
          <w:szCs w:val="24"/>
        </w:rPr>
        <w:t xml:space="preserve"> (PBV)</w:t>
      </w:r>
    </w:p>
    <w:p>
      <w:pPr>
        <w:pStyle w:val="23"/>
        <w:numPr>
          <w:ilvl w:val="2"/>
          <w:numId w:val="63"/>
        </w:numPr>
        <w:tabs>
          <w:tab w:val="left" w:pos="0"/>
          <w:tab w:val="left" w:pos="720"/>
          <w:tab w:val="left" w:pos="2865"/>
        </w:tabs>
        <w:rPr>
          <w:rStyle w:val="25"/>
          <w:rFonts w:ascii="Times New Roman" w:hAnsi="Times New Roman" w:cs="Times New Roman"/>
          <w:b/>
          <w:i/>
          <w:sz w:val="24"/>
          <w:szCs w:val="24"/>
        </w:rPr>
      </w:pPr>
      <w:r>
        <w:rPr>
          <w:rFonts w:ascii="Times New Roman" w:hAnsi="Times New Roman" w:cs="Times New Roman"/>
          <w:b/>
          <w:sz w:val="24"/>
          <w:szCs w:val="24"/>
        </w:rPr>
        <w:t xml:space="preserve">Variabel </w:t>
      </w:r>
      <w:r>
        <w:rPr>
          <w:rFonts w:ascii="Times New Roman" w:hAnsi="Times New Roman" w:cs="Times New Roman"/>
          <w:b/>
          <w:i/>
          <w:sz w:val="24"/>
          <w:szCs w:val="24"/>
        </w:rPr>
        <w:t xml:space="preserve">Invesment Opportunity Set </w:t>
      </w:r>
      <w:r>
        <w:rPr>
          <w:rFonts w:ascii="Times New Roman" w:hAnsi="Times New Roman" w:cs="Times New Roman"/>
          <w:b/>
          <w:sz w:val="24"/>
          <w:szCs w:val="24"/>
        </w:rPr>
        <w:t xml:space="preserve">yang terdiri dari </w:t>
      </w:r>
      <w:r>
        <w:rPr>
          <w:rFonts w:ascii="Times New Roman" w:hAnsi="Times New Roman" w:eastAsia="Times New Roman" w:cs="Times New Roman"/>
          <w:b/>
          <w:i/>
          <w:sz w:val="24"/>
          <w:szCs w:val="24"/>
        </w:rPr>
        <w:t xml:space="preserve">Market to book value of equity </w:t>
      </w:r>
      <w:r>
        <w:rPr>
          <w:rStyle w:val="25"/>
          <w:rFonts w:ascii="Times New Roman" w:hAnsi="Times New Roman" w:cs="Times New Roman"/>
          <w:b/>
          <w:i/>
          <w:sz w:val="24"/>
          <w:szCs w:val="24"/>
        </w:rPr>
        <w:t>(MBVE) (X1)</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Menurut Purbaet al. (2017) </w:t>
      </w:r>
      <w:r>
        <w:rPr>
          <w:rFonts w:ascii="Times New Roman" w:hAnsi="Times New Roman" w:cs="Times New Roman"/>
          <w:i/>
          <w:sz w:val="24"/>
          <w:szCs w:val="24"/>
        </w:rPr>
        <w:t xml:space="preserve">Invesment Opportunity Set </w:t>
      </w:r>
      <w:r>
        <w:rPr>
          <w:rStyle w:val="31"/>
          <w:rFonts w:ascii="Times New Roman" w:hAnsi="Times New Roman" w:cs="Times New Roman"/>
          <w:sz w:val="24"/>
          <w:szCs w:val="24"/>
        </w:rPr>
        <w:t xml:space="preserve">(IOS) merupakan besarnya kesempatan investasi yang dimiliki oleh perusahaan. Untuk menentukan besarnya kesempatan investasi, dalam penelitian ini menggunakan </w:t>
      </w:r>
      <w:r>
        <w:rPr>
          <w:rStyle w:val="31"/>
          <w:rFonts w:ascii="Times New Roman" w:hAnsi="Times New Roman" w:cs="Times New Roman"/>
          <w:i/>
          <w:sz w:val="24"/>
          <w:szCs w:val="24"/>
        </w:rPr>
        <w:t>Market to Book Value of Equity.</w:t>
      </w:r>
      <w:r>
        <w:rPr>
          <w:rStyle w:val="31"/>
          <w:rFonts w:ascii="Times New Roman" w:hAnsi="Times New Roman" w:cs="Times New Roman"/>
          <w:sz w:val="24"/>
          <w:szCs w:val="24"/>
        </w:rPr>
        <w:t xml:space="preserve"> </w:t>
      </w:r>
      <w:r>
        <w:rPr>
          <w:rStyle w:val="31"/>
          <w:rFonts w:ascii="Times New Roman" w:hAnsi="Times New Roman" w:cs="Times New Roman"/>
          <w:i/>
          <w:sz w:val="24"/>
          <w:szCs w:val="24"/>
        </w:rPr>
        <w:t>Market to Book Value of Equity</w:t>
      </w:r>
      <w:r>
        <w:rPr>
          <w:rStyle w:val="31"/>
          <w:rFonts w:ascii="Times New Roman" w:hAnsi="Times New Roman" w:cs="Times New Roman"/>
          <w:sz w:val="24"/>
          <w:szCs w:val="24"/>
        </w:rPr>
        <w:t xml:space="preserve"> dipilih untuk menghitung variabel </w:t>
      </w:r>
      <w:r>
        <w:rPr>
          <w:rStyle w:val="31"/>
          <w:rFonts w:ascii="Times New Roman" w:hAnsi="Times New Roman" w:cs="Times New Roman"/>
          <w:i/>
          <w:sz w:val="24"/>
          <w:szCs w:val="24"/>
        </w:rPr>
        <w:t xml:space="preserve">investment opportunity set </w:t>
      </w:r>
      <w:r>
        <w:rPr>
          <w:rStyle w:val="31"/>
          <w:rFonts w:ascii="Times New Roman" w:hAnsi="Times New Roman" w:cs="Times New Roman"/>
          <w:sz w:val="24"/>
          <w:szCs w:val="24"/>
        </w:rPr>
        <w:t xml:space="preserve">karena proksi ini mencerminkan bahwa pasar menilai return dari investasi perusahaan di masa depan dari return yang Diharapkan dari ekuitasnya, selain itu rasio </w:t>
      </w:r>
      <w:r>
        <w:rPr>
          <w:rStyle w:val="31"/>
          <w:rFonts w:ascii="Times New Roman" w:hAnsi="Times New Roman" w:cs="Times New Roman"/>
          <w:i/>
          <w:sz w:val="24"/>
          <w:szCs w:val="24"/>
        </w:rPr>
        <w:t>market to book value of equity</w:t>
      </w:r>
      <w:r>
        <w:rPr>
          <w:rStyle w:val="31"/>
          <w:rFonts w:ascii="Times New Roman" w:hAnsi="Times New Roman" w:cs="Times New Roman"/>
          <w:sz w:val="24"/>
          <w:szCs w:val="24"/>
        </w:rPr>
        <w:t xml:space="preserve"> merupakan proksi yang paling valid digunakan danjuga merupakan proksi yang paling banyak digunakan oleh peneliti di bidang keuangan. </w:t>
      </w:r>
      <w:r>
        <w:rPr>
          <w:rFonts w:ascii="Times New Roman" w:hAnsi="Times New Roman" w:cs="Times New Roman"/>
          <w:i/>
          <w:sz w:val="24"/>
          <w:szCs w:val="24"/>
        </w:rPr>
        <w:t xml:space="preserve">Market to Book Value Equity </w:t>
      </w:r>
      <w:r>
        <w:rPr>
          <w:rFonts w:ascii="Times New Roman" w:hAnsi="Times New Roman" w:cs="Times New Roman"/>
          <w:sz w:val="24"/>
          <w:szCs w:val="24"/>
        </w:rPr>
        <w:t>dapat dihitung dengan rumus sebagai berikut :</w:t>
      </w:r>
    </w:p>
    <w:p>
      <w:pPr>
        <w:tabs>
          <w:tab w:val="left" w:pos="8550"/>
        </w:tabs>
        <w:ind w:firstLine="0"/>
        <w:rPr>
          <w:rFonts w:ascii="Times New Roman" w:hAnsi="Times New Roman" w:cs="Times New Roman" w:eastAsiaTheme="minorEastAsia"/>
          <w:i/>
          <w:sz w:val="24"/>
          <w:szCs w:val="24"/>
        </w:rPr>
      </w:pPr>
      <w:r>
        <w:rPr>
          <w:rFonts w:ascii="Times New Roman" w:hAnsi="Times New Roman" w:cs="Times New Roman" w:eastAsiaTheme="minorEastAsia"/>
          <w:i/>
          <w:sz w:val="24"/>
          <w:szCs w:val="24"/>
        </w:rPr>
        <w:pict>
          <v:shape id="_x0000_s1149" o:spid="_x0000_s1149" o:spt="202" type="#_x0000_t202" style="position:absolute;left:0pt;margin-left:49.95pt;margin-top:-0.25pt;height:45.55pt;width:360.05pt;z-index:251695104;mso-width-relative:margin;mso-height-relative:margin;" coordsize="21600,21600">
            <v:path/>
            <v:fill focussize="0,0"/>
            <v:stroke joinstyle="miter"/>
            <v:imagedata o:title=""/>
            <o:lock v:ext="edit"/>
            <v:textbox>
              <w:txbxContent>
                <w:p>
                  <w:pPr>
                    <w:tabs>
                      <w:tab w:val="left" w:pos="8550"/>
                    </w:tabs>
                    <w:ind w:firstLine="0"/>
                    <w:rPr>
                      <w:rFonts w:ascii="Times New Roman" w:hAnsi="Times New Roman" w:cs="Times New Roman" w:eastAsiaTheme="minorEastAsia"/>
                      <w:sz w:val="24"/>
                      <w:szCs w:val="24"/>
                    </w:rPr>
                  </w:pPr>
                  <w:r>
                    <w:rPr>
                      <w:rFonts w:ascii="Times New Roman" w:hAnsi="Times New Roman" w:cs="Times New Roman"/>
                      <w:sz w:val="24"/>
                      <w:szCs w:val="24"/>
                    </w:rPr>
                    <w:t>MBVE</w:t>
                  </w:r>
                  <m:oMath>
                    <m:r>
                      <m:rPr/>
                      <w:rPr>
                        <w:rFonts w:ascii="Cambria Math" w:hAnsi="Times New Roman" w:cs="Times New Roman"/>
                        <w:sz w:val="24"/>
                        <w:szCs w:val="24"/>
                      </w:rPr>
                      <m:t xml:space="preserve"> :</m:t>
                    </m:r>
                    <m:f>
                      <m:fPr>
                        <m:ctrlPr>
                          <w:rPr>
                            <w:rFonts w:ascii="Cambria Math" w:hAnsi="Times New Roman" w:cs="Times New Roman"/>
                            <w:i/>
                            <w:sz w:val="24"/>
                            <w:szCs w:val="24"/>
                          </w:rPr>
                        </m:ctrlPr>
                      </m:fPr>
                      <m:num>
                        <m:r>
                          <m:rPr>
                            <m:sty m:val="p"/>
                          </m:rPr>
                          <w:rPr>
                            <w:rFonts w:ascii="Cambria Math" w:hAnsi="Times New Roman" w:cs="Times New Roman"/>
                            <w:sz w:val="24"/>
                            <w:szCs w:val="24"/>
                          </w:rPr>
                          <m:t>JUMLAH LEMBAR SAHAM BEREDAR X HARGA PENUTUPAN SAHAM</m:t>
                        </m:r>
                        <m:ctrlPr>
                          <w:rPr>
                            <w:rFonts w:ascii="Cambria Math" w:hAnsi="Times New Roman" w:cs="Times New Roman"/>
                            <w:i/>
                            <w:sz w:val="24"/>
                            <w:szCs w:val="24"/>
                          </w:rPr>
                        </m:ctrlPr>
                      </m:num>
                      <m:den>
                        <m:r>
                          <m:rPr>
                            <m:sty m:val="p"/>
                          </m:rPr>
                          <w:rPr>
                            <w:rFonts w:ascii="Cambria Math" w:hAnsi="Times New Roman" w:cs="Times New Roman"/>
                            <w:sz w:val="24"/>
                            <w:szCs w:val="24"/>
                          </w:rPr>
                          <m:t>TOTAL EQUITY</m:t>
                        </m:r>
                        <m:ctrlPr>
                          <w:rPr>
                            <w:rFonts w:ascii="Cambria Math" w:hAnsi="Times New Roman" w:cs="Times New Roman"/>
                            <w:i/>
                            <w:sz w:val="24"/>
                            <w:szCs w:val="24"/>
                          </w:rPr>
                        </m:ctrlPr>
                      </m:den>
                    </m:f>
                  </m:oMath>
                </w:p>
                <w:p/>
              </w:txbxContent>
            </v:textbox>
          </v:shape>
        </w:pict>
      </w:r>
    </w:p>
    <w:p>
      <w:pPr>
        <w:tabs>
          <w:tab w:val="left" w:pos="8550"/>
        </w:tabs>
        <w:ind w:firstLine="0"/>
        <w:rPr>
          <w:rFonts w:ascii="Times New Roman" w:hAnsi="Times New Roman" w:cs="Times New Roman" w:eastAsiaTheme="minorEastAsia"/>
          <w:i/>
          <w:sz w:val="24"/>
          <w:szCs w:val="24"/>
        </w:rPr>
      </w:pPr>
    </w:p>
    <w:p>
      <w:pPr>
        <w:tabs>
          <w:tab w:val="left" w:pos="0"/>
          <w:tab w:val="left" w:pos="720"/>
          <w:tab w:val="left" w:pos="2865"/>
        </w:tabs>
        <w:ind w:firstLine="0"/>
        <w:rPr>
          <w:rStyle w:val="25"/>
          <w:rFonts w:ascii="Times New Roman" w:hAnsi="Times New Roman" w:cs="Times New Roman"/>
          <w:sz w:val="24"/>
          <w:szCs w:val="24"/>
        </w:rPr>
      </w:pPr>
    </w:p>
    <w:p>
      <w:pPr>
        <w:tabs>
          <w:tab w:val="left" w:pos="0"/>
          <w:tab w:val="left" w:pos="720"/>
          <w:tab w:val="left" w:pos="2865"/>
        </w:tabs>
        <w:ind w:firstLine="0"/>
        <w:rPr>
          <w:rFonts w:ascii="Times New Roman" w:hAnsi="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Dari persamaan di atas maka nilai </w:t>
      </w:r>
      <w:r>
        <w:rPr>
          <w:rFonts w:ascii="Times New Roman" w:hAnsi="Times New Roman" w:cs="Times New Roman"/>
          <w:i/>
          <w:sz w:val="24"/>
          <w:szCs w:val="24"/>
        </w:rPr>
        <w:t xml:space="preserve">Market to Book Value Equity </w:t>
      </w:r>
      <w:r>
        <w:rPr>
          <w:rFonts w:ascii="Times New Roman" w:hAnsi="Times New Roman" w:cs="Times New Roman"/>
          <w:sz w:val="24"/>
          <w:szCs w:val="24"/>
        </w:rPr>
        <w:t>pada perusahaan sub sektor perbankan di Bursa Efek Indonesia periode 2015-2019 dapat dilihat pada tabel berikut ini :</w:t>
      </w:r>
    </w:p>
    <w:p>
      <w:pPr>
        <w:tabs>
          <w:tab w:val="left" w:pos="0"/>
          <w:tab w:val="left" w:pos="720"/>
          <w:tab w:val="left" w:pos="2865"/>
        </w:tabs>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724400" cy="3000375"/>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rPr>
          <w:rFonts w:ascii="Times New Roman" w:hAnsi="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Berdasarkan hasil perhitungan di atas maka dapat diketahui bahwa nilai </w:t>
      </w:r>
      <w:r>
        <w:rPr>
          <w:rFonts w:ascii="Times New Roman" w:hAnsi="Times New Roman" w:cs="Times New Roman"/>
          <w:i/>
          <w:sz w:val="24"/>
          <w:szCs w:val="24"/>
        </w:rPr>
        <w:t xml:space="preserve">Market to Book Value Equity </w:t>
      </w:r>
      <w:r>
        <w:rPr>
          <w:rFonts w:ascii="Times New Roman" w:hAnsi="Times New Roman" w:cs="Times New Roman"/>
          <w:sz w:val="24"/>
          <w:szCs w:val="24"/>
        </w:rPr>
        <w:t xml:space="preserve">pada perusahaan sub sektor perbankan pada tahun 2015-2019 mengalami fluktuasi setiap tahunnya. </w:t>
      </w:r>
      <w:r>
        <w:rPr>
          <w:rStyle w:val="31"/>
          <w:rFonts w:ascii="Times New Roman" w:hAnsi="Times New Roman" w:cs="Times New Roman"/>
          <w:sz w:val="24"/>
          <w:szCs w:val="24"/>
        </w:rPr>
        <w:t xml:space="preserve">Fluktuasi atau ketidakpastian dari tahun ke tahunnya terutama pada perusahaan perbankan PNBN dan BNLI yang mengalami naik turun dan tidak stabil. Maka dari itu </w:t>
      </w:r>
      <w:r>
        <w:rPr>
          <w:rStyle w:val="31"/>
          <w:rFonts w:ascii="Times New Roman" w:hAnsi="Times New Roman" w:cs="Times New Roman"/>
          <w:i/>
          <w:sz w:val="24"/>
          <w:szCs w:val="24"/>
        </w:rPr>
        <w:t>Invesement Opportunity Set</w:t>
      </w:r>
      <w:r>
        <w:rPr>
          <w:rStyle w:val="31"/>
          <w:rFonts w:ascii="Times New Roman" w:hAnsi="Times New Roman" w:cs="Times New Roman"/>
          <w:sz w:val="24"/>
          <w:szCs w:val="24"/>
        </w:rPr>
        <w:t xml:space="preserve"> dengan menggunakan proksi </w:t>
      </w:r>
      <w:r>
        <w:rPr>
          <w:rFonts w:ascii="Times New Roman" w:hAnsi="Times New Roman" w:cs="Times New Roman"/>
          <w:i/>
          <w:sz w:val="24"/>
          <w:szCs w:val="24"/>
        </w:rPr>
        <w:t>Market to Book Value Equity</w:t>
      </w:r>
      <w:r>
        <w:rPr>
          <w:rStyle w:val="31"/>
          <w:rFonts w:ascii="Times New Roman" w:hAnsi="Times New Roman" w:cs="Times New Roman"/>
          <w:sz w:val="24"/>
          <w:szCs w:val="24"/>
        </w:rPr>
        <w:t xml:space="preserve"> harus meningkatkan nilai asset serta sahamnya yang berada di perusahaan tersebut agar tidak terjadinya fluktuasi atau pun factor lain.</w:t>
      </w:r>
    </w:p>
    <w:p>
      <w:pPr>
        <w:ind w:firstLine="720"/>
        <w:rPr>
          <w:rFonts w:ascii="Times New Roman" w:hAnsi="Times New Roman" w:cs="Times New Roman"/>
          <w:sz w:val="24"/>
          <w:szCs w:val="24"/>
        </w:rPr>
      </w:pPr>
      <w:r>
        <w:rPr>
          <w:rFonts w:ascii="Times New Roman" w:hAnsi="Times New Roman" w:cs="Times New Roman"/>
          <w:sz w:val="24"/>
          <w:szCs w:val="24"/>
        </w:rPr>
        <w:t xml:space="preserve">Pada tahun 2015, 2018, 2019 mengalami penurunan yang disebabkan tingkat penjualan saham yang rendahnya sehingga berdampak terhadap nilai buku saham, </w:t>
      </w:r>
      <w:r>
        <w:rPr>
          <w:rStyle w:val="31"/>
          <w:rFonts w:ascii="Times New Roman" w:hAnsi="Times New Roman" w:cs="Times New Roman"/>
          <w:sz w:val="24"/>
          <w:szCs w:val="24"/>
        </w:rPr>
        <w:t>selain itu di Indonesia pada tahun 2015 harga saham IHSG cederung melemah dikarenakan banyak tantangan pada waktu itu. Sehingga para investor asing mengalihkan sebagian dananya keluar dari pasar domestik (antaranews.com, Senin 03 April 2017)</w:t>
      </w:r>
      <w:r>
        <w:rPr>
          <w:rFonts w:ascii="Times New Roman" w:hAnsi="Times New Roman" w:eastAsia="Times New Roman" w:cs="Times New Roman"/>
          <w:color w:val="000000"/>
          <w:sz w:val="24"/>
          <w:szCs w:val="24"/>
        </w:rPr>
        <w:t xml:space="preserve">. </w:t>
      </w:r>
      <w:r>
        <w:rPr>
          <w:rFonts w:ascii="Times New Roman" w:hAnsi="Times New Roman" w:cs="Times New Roman"/>
          <w:sz w:val="24"/>
          <w:szCs w:val="24"/>
        </w:rPr>
        <w:t xml:space="preserve">Sebaliknya Pada tahun 2016, dan 2017 </w:t>
      </w:r>
      <w:r>
        <w:rPr>
          <w:rFonts w:ascii="Times New Roman" w:hAnsi="Times New Roman" w:cs="Times New Roman"/>
          <w:i/>
          <w:sz w:val="24"/>
          <w:szCs w:val="24"/>
        </w:rPr>
        <w:t xml:space="preserve">Market to Book Value Equity (MBVE) </w:t>
      </w:r>
      <w:r>
        <w:rPr>
          <w:rFonts w:ascii="Times New Roman" w:hAnsi="Times New Roman" w:cs="Times New Roman"/>
          <w:sz w:val="24"/>
          <w:szCs w:val="24"/>
        </w:rPr>
        <w:t xml:space="preserve">mengalami peningkatan, hal ini karena sub sektor perbankan menunjukkan  </w:t>
      </w:r>
      <w:r>
        <w:rPr>
          <w:rStyle w:val="31"/>
          <w:rFonts w:ascii="Times New Roman" w:hAnsi="Times New Roman" w:cs="Times New Roman"/>
          <w:sz w:val="24"/>
          <w:szCs w:val="24"/>
        </w:rPr>
        <w:t xml:space="preserve">progress yang baik atau kenaikan dari tahun ke tahun nya semakin baik dari tahun sebelumnya. Dengan sumber daya yang dimiliki (asset total), perbankan mampu memaksimalkannya menjadi laba bersih. Hal ini berarti, dengan asset-asset yang dimiliki perbankan, perbankan mampu memanfaatkan asset-assetnya dengan baik, sehingga bisa menghasilkan keuntungan bagi perbankan. </w:t>
      </w:r>
      <w:r>
        <w:rPr>
          <w:rStyle w:val="31"/>
          <w:rFonts w:ascii="Times New Roman" w:hAnsi="Times New Roman" w:cs="Times New Roman"/>
          <w:i/>
          <w:sz w:val="24"/>
          <w:szCs w:val="24"/>
        </w:rPr>
        <w:t xml:space="preserve">Invesement Opportunity Set </w:t>
      </w:r>
      <w:r>
        <w:rPr>
          <w:rStyle w:val="31"/>
          <w:rFonts w:ascii="Times New Roman" w:hAnsi="Times New Roman" w:cs="Times New Roman"/>
          <w:sz w:val="24"/>
          <w:szCs w:val="24"/>
        </w:rPr>
        <w:t xml:space="preserve">dengan di proksikan oleh harga mengalami kenaikan yang hampir sama dari tahun ke tahunnya terutama pada perusahan perbankan BBRI yang slalu meningkat dan mengalami progress yang baik. Maka dari itu </w:t>
      </w:r>
      <w:r>
        <w:rPr>
          <w:rStyle w:val="31"/>
          <w:rFonts w:ascii="Times New Roman" w:hAnsi="Times New Roman" w:cs="Times New Roman"/>
          <w:i/>
          <w:sz w:val="24"/>
          <w:szCs w:val="24"/>
        </w:rPr>
        <w:t>Invesement Opportunity set</w:t>
      </w:r>
      <w:r>
        <w:rPr>
          <w:rStyle w:val="31"/>
          <w:rFonts w:ascii="Times New Roman" w:hAnsi="Times New Roman" w:cs="Times New Roman"/>
          <w:sz w:val="24"/>
          <w:szCs w:val="24"/>
        </w:rPr>
        <w:t xml:space="preserve"> dengan proksi harga akan semakin mudah mendapatkan dana dari investor untuk memajukan atau mendapat</w:t>
      </w:r>
      <w:r>
        <w:rPr>
          <w:rStyle w:val="18"/>
          <w:rFonts w:eastAsiaTheme="minorHAnsi"/>
          <w:sz w:val="24"/>
          <w:szCs w:val="24"/>
        </w:rPr>
        <w:t xml:space="preserve"> </w:t>
      </w:r>
      <w:r>
        <w:rPr>
          <w:rStyle w:val="31"/>
          <w:rFonts w:ascii="Times New Roman" w:hAnsi="Times New Roman" w:cs="Times New Roman"/>
          <w:sz w:val="24"/>
          <w:szCs w:val="24"/>
        </w:rPr>
        <w:t>kepercayaan dari investor untuk tujuan perusahaan sehingga dapat meningkatkan nilai perusahaan melalui kenaikan harga saham.</w:t>
      </w:r>
    </w:p>
    <w:p>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 xml:space="preserve">Secara keseluruhan rata-rata nilai </w:t>
      </w:r>
      <w:r>
        <w:rPr>
          <w:rFonts w:ascii="Times New Roman" w:hAnsi="Times New Roman" w:cs="Times New Roman"/>
          <w:i/>
          <w:sz w:val="24"/>
          <w:szCs w:val="24"/>
        </w:rPr>
        <w:t xml:space="preserve">Market to Book Value Equity (MBVE) </w:t>
      </w:r>
      <w:r>
        <w:rPr>
          <w:rFonts w:ascii="Times New Roman" w:hAnsi="Times New Roman" w:cs="Times New Roman"/>
          <w:sz w:val="24"/>
          <w:szCs w:val="24"/>
        </w:rPr>
        <w:t>dari tahun 2015 sampai 2019 memperoleh hasil yang berada di atas rata-rata industri</w:t>
      </w:r>
      <w:r>
        <w:rPr>
          <w:rFonts w:ascii="Times New Roman" w:hAnsi="Times New Roman" w:eastAsia="Times New Roman" w:cs="Times New Roman"/>
          <w:color w:val="000000"/>
          <w:sz w:val="24"/>
          <w:szCs w:val="24"/>
        </w:rPr>
        <w:t xml:space="preserve"> 24.726.134.  Sehingga perusahaan pada sub sektor perbankan pada tahun 2015-2019 termasuk kategori perusahaan yang tumbuh, p</w:t>
      </w:r>
      <w:r>
        <w:rPr>
          <w:rStyle w:val="31"/>
          <w:rFonts w:ascii="Times New Roman" w:hAnsi="Times New Roman" w:cs="Times New Roman"/>
          <w:sz w:val="24"/>
          <w:szCs w:val="24"/>
        </w:rPr>
        <w:t>erusahaan yang tumbuh akan mempunyai nilai pasar yang relatif lebih tinggi dibandingkan dengan aktiva riilnya, karena rasio ini merupakan prospek pertumbuhan perusahaan parsial yang tergabung dalam harga saham, dan pertumbuhan akan lebih besar dari nilai pasar relatif terhadap aktiva-aktiva yang dimiliki</w:t>
      </w:r>
      <w:r>
        <w:rPr>
          <w:rFonts w:ascii="Times New Roman" w:hAnsi="Times New Roman" w:cs="Times New Roman"/>
          <w:sz w:val="24"/>
          <w:szCs w:val="24"/>
        </w:rPr>
        <w:t xml:space="preserve">. Dimana </w:t>
      </w:r>
      <w:r>
        <w:rPr>
          <w:rStyle w:val="31"/>
          <w:rFonts w:ascii="Times New Roman" w:hAnsi="Times New Roman" w:cs="Times New Roman"/>
          <w:sz w:val="24"/>
          <w:szCs w:val="24"/>
        </w:rPr>
        <w:t xml:space="preserve">semakin tinggi nilai </w:t>
      </w:r>
      <w:r>
        <w:rPr>
          <w:rFonts w:ascii="Times New Roman" w:hAnsi="Times New Roman" w:cs="Times New Roman"/>
          <w:i/>
          <w:sz w:val="24"/>
          <w:szCs w:val="24"/>
        </w:rPr>
        <w:t xml:space="preserve">Market to Book Value Equity (MBVE) </w:t>
      </w:r>
      <w:r>
        <w:rPr>
          <w:rStyle w:val="31"/>
          <w:rFonts w:ascii="Times New Roman" w:hAnsi="Times New Roman" w:cs="Times New Roman"/>
          <w:sz w:val="24"/>
          <w:szCs w:val="24"/>
        </w:rPr>
        <w:t>maka semakin besar asset yang digunakan perusahaan dalam usahanya, semakin besar kemungkinan</w:t>
      </w:r>
      <w:r>
        <w:rPr>
          <w:rStyle w:val="31"/>
          <w:rFonts w:ascii="Arial" w:hAnsi="Arial" w:cs="Arial"/>
          <w:sz w:val="28"/>
          <w:szCs w:val="28"/>
        </w:rPr>
        <w:t xml:space="preserve"> </w:t>
      </w:r>
      <w:r>
        <w:rPr>
          <w:rStyle w:val="31"/>
          <w:rFonts w:ascii="Times New Roman" w:hAnsi="Times New Roman" w:cs="Times New Roman"/>
          <w:sz w:val="24"/>
          <w:szCs w:val="24"/>
        </w:rPr>
        <w:t>harga sahamnya akan meningkat, nilai perusahaan pun meningkat.</w:t>
      </w:r>
      <w:r>
        <w:rPr>
          <w:rFonts w:ascii="Times New Roman" w:hAnsi="Times New Roman" w:cs="Times New Roman"/>
          <w:b/>
          <w:sz w:val="24"/>
          <w:szCs w:val="24"/>
        </w:rPr>
        <w:t xml:space="preserve"> </w:t>
      </w:r>
    </w:p>
    <w:p>
      <w:pPr>
        <w:ind w:firstLine="0"/>
        <w:rPr>
          <w:rStyle w:val="25"/>
          <w:rFonts w:ascii="Times New Roman" w:hAnsi="Times New Roman" w:cs="Times New Roman"/>
          <w:b/>
          <w:sz w:val="24"/>
          <w:szCs w:val="24"/>
        </w:rPr>
      </w:pPr>
      <w:r>
        <w:rPr>
          <w:rFonts w:ascii="Times New Roman" w:hAnsi="Times New Roman" w:cs="Times New Roman"/>
          <w:b/>
          <w:sz w:val="24"/>
          <w:szCs w:val="24"/>
        </w:rPr>
        <w:t xml:space="preserve">4.2.2 Variabel </w:t>
      </w:r>
      <w:r>
        <w:rPr>
          <w:rFonts w:ascii="Times New Roman" w:hAnsi="Times New Roman" w:cs="Times New Roman"/>
          <w:b/>
          <w:i/>
          <w:sz w:val="24"/>
          <w:szCs w:val="24"/>
        </w:rPr>
        <w:t xml:space="preserve">Invesment Opportunity Set </w:t>
      </w:r>
      <w:r>
        <w:rPr>
          <w:rFonts w:ascii="Times New Roman" w:hAnsi="Times New Roman" w:cs="Times New Roman"/>
          <w:b/>
          <w:sz w:val="24"/>
          <w:szCs w:val="24"/>
        </w:rPr>
        <w:t xml:space="preserve">yang terdiri dari </w:t>
      </w:r>
      <w:r>
        <w:rPr>
          <w:rStyle w:val="25"/>
          <w:rFonts w:ascii="Times New Roman" w:hAnsi="Times New Roman" w:cs="Times New Roman"/>
          <w:b/>
          <w:i/>
          <w:sz w:val="24"/>
          <w:szCs w:val="24"/>
        </w:rPr>
        <w:t>Capital Expenditure to Book Value of Asset</w:t>
      </w:r>
      <w:r>
        <w:rPr>
          <w:rStyle w:val="25"/>
          <w:rFonts w:ascii="Times New Roman" w:hAnsi="Times New Roman" w:cs="Times New Roman"/>
          <w:b/>
          <w:sz w:val="24"/>
          <w:szCs w:val="24"/>
        </w:rPr>
        <w:t xml:space="preserve"> (CAPBVA) (X2)</w:t>
      </w:r>
    </w:p>
    <w:p>
      <w:pPr>
        <w:tabs>
          <w:tab w:val="left" w:pos="0"/>
          <w:tab w:val="left" w:pos="720"/>
          <w:tab w:val="left" w:pos="2865"/>
        </w:tabs>
        <w:ind w:firstLine="720"/>
        <w:rPr>
          <w:rFonts w:ascii="Times New Roman" w:hAnsi="Times New Roman" w:cs="Times New Roman"/>
          <w:sz w:val="24"/>
          <w:szCs w:val="24"/>
        </w:rPr>
      </w:pPr>
      <w:r>
        <w:rPr>
          <w:rFonts w:ascii="Times New Roman" w:hAnsi="Times New Roman" w:cs="Times New Roman"/>
          <w:sz w:val="24"/>
          <w:szCs w:val="24"/>
        </w:rPr>
        <w:t xml:space="preserve">Menurut (Purbaet dkk ,2017) mengatakan bahwa peneliti menggunakan </w:t>
      </w:r>
      <w:r>
        <w:rPr>
          <w:rFonts w:ascii="Times New Roman" w:hAnsi="Times New Roman" w:cs="Times New Roman"/>
          <w:i/>
          <w:sz w:val="24"/>
          <w:szCs w:val="24"/>
        </w:rPr>
        <w:t>Capital Expenditure to Book Value of Assets</w:t>
      </w:r>
      <w:r>
        <w:rPr>
          <w:rFonts w:ascii="Times New Roman" w:hAnsi="Times New Roman" w:cs="Times New Roman"/>
          <w:sz w:val="24"/>
          <w:szCs w:val="24"/>
        </w:rPr>
        <w:t xml:space="preserve"> untuk mencatat nilai buku aset, yang menunjukkan adanya arus tambahan ekuitas perusahaan yang dapat digunakan untuk penambahan investasi pada aset produktif. </w:t>
      </w:r>
      <w:r>
        <w:rPr>
          <w:rFonts w:ascii="Times New Roman" w:hAnsi="Times New Roman" w:cs="Times New Roman"/>
          <w:i/>
          <w:sz w:val="24"/>
          <w:szCs w:val="24"/>
        </w:rPr>
        <w:t>Capital Expenditure to Book Value of Assets</w:t>
      </w:r>
      <w:r>
        <w:rPr>
          <w:rFonts w:ascii="Times New Roman" w:hAnsi="Times New Roman" w:cs="Times New Roman"/>
          <w:sz w:val="24"/>
          <w:szCs w:val="24"/>
        </w:rPr>
        <w:t xml:space="preserve"> dapat dihitung dengan menggunakan rumus berikut:</w:t>
      </w:r>
    </w:p>
    <w:p>
      <w:pPr>
        <w:tabs>
          <w:tab w:val="left" w:pos="0"/>
          <w:tab w:val="left" w:pos="720"/>
          <w:tab w:val="left" w:pos="2865"/>
        </w:tabs>
        <w:ind w:firstLine="0"/>
        <w:rPr>
          <w:rStyle w:val="25"/>
          <w:rFonts w:ascii="Times New Roman" w:hAnsi="Times New Roman" w:cs="Times New Roman"/>
          <w:sz w:val="24"/>
          <w:szCs w:val="24"/>
        </w:rPr>
      </w:pPr>
      <w:r>
        <w:rPr>
          <w:rFonts w:eastAsiaTheme="minorEastAsia"/>
          <w:i/>
          <w:lang w:eastAsia="zh-TW"/>
        </w:rPr>
        <w:pict>
          <v:shape id="_x0000_s1150" o:spid="_x0000_s1150" o:spt="202" type="#_x0000_t202" style="position:absolute;left:0pt;margin-left:42.3pt;margin-top:7.9pt;height:52.5pt;width:349.5pt;z-index:251696128;mso-width-relative:margin;mso-height-relative:margin;" coordsize="21600,21600">
            <v:path/>
            <v:fill focussize="0,0"/>
            <v:stroke joinstyle="miter"/>
            <v:imagedata o:title=""/>
            <o:lock v:ext="edit"/>
            <v:textbox>
              <w:txbxContent>
                <w:p>
                  <w:pPr>
                    <w:tabs>
                      <w:tab w:val="left" w:pos="90"/>
                      <w:tab w:val="left" w:pos="720"/>
                    </w:tabs>
                    <w:spacing w:line="240" w:lineRule="auto"/>
                    <w:ind w:firstLine="0"/>
                    <w:rPr>
                      <w:rFonts w:ascii="Times New Roman" w:hAnsi="Times New Roman" w:cs="Times New Roman"/>
                      <w:sz w:val="28"/>
                      <w:szCs w:val="28"/>
                    </w:rPr>
                  </w:pPr>
                </w:p>
                <w:p>
                  <w:pPr>
                    <w:tabs>
                      <w:tab w:val="left" w:pos="90"/>
                      <w:tab w:val="left" w:pos="720"/>
                    </w:tabs>
                    <w:spacing w:line="240" w:lineRule="auto"/>
                    <w:ind w:firstLine="0"/>
                    <w:jc w:val="center"/>
                    <w:rPr>
                      <w:rFonts w:ascii="Times New Roman" w:hAnsi="Times New Roman" w:cs="Times New Roman" w:eastAsiaTheme="minorEastAsia"/>
                      <w:sz w:val="28"/>
                      <w:szCs w:val="28"/>
                    </w:rPr>
                  </w:pPr>
                  <w:r>
                    <w:rPr>
                      <w:rFonts w:ascii="Times New Roman" w:hAnsi="Times New Roman" w:cs="Times New Roman"/>
                      <w:sz w:val="28"/>
                      <w:szCs w:val="28"/>
                    </w:rPr>
                    <w:t xml:space="preserve">CAPBVA =  </w:t>
                  </w:r>
                  <m:oMath>
                    <m:f>
                      <m:fPr>
                        <m:ctrlPr>
                          <w:rPr>
                            <w:rFonts w:ascii="Cambria Math" w:hAnsi="Times New Roman" w:cs="Times New Roman"/>
                            <w:i/>
                            <w:sz w:val="28"/>
                            <w:szCs w:val="28"/>
                          </w:rPr>
                        </m:ctrlPr>
                      </m:fPr>
                      <m:num>
                        <m:r>
                          <m:rPr/>
                          <w:rPr>
                            <w:rFonts w:ascii="Cambria Math" w:hAnsi="Cambria Math" w:cs="Times New Roman"/>
                            <w:sz w:val="28"/>
                            <w:szCs w:val="28"/>
                          </w:rPr>
                          <m:t>Ni</m:t>
                        </m:r>
                        <m:r>
                          <m:rPr/>
                          <w:rPr>
                            <w:rFonts w:ascii="Cambria Math" w:hAnsi="Times New Roman" w:cs="Times New Roman"/>
                            <w:sz w:val="28"/>
                            <w:szCs w:val="28"/>
                          </w:rPr>
                          <m:t>.</m:t>
                        </m:r>
                        <m:r>
                          <m:rPr/>
                          <w:rPr>
                            <w:rFonts w:ascii="Cambria Math" w:hAnsi="Cambria Math" w:cs="Times New Roman"/>
                            <w:sz w:val="28"/>
                            <w:szCs w:val="28"/>
                          </w:rPr>
                          <m:t>bukuAktivatetapt</m:t>
                        </m:r>
                        <m:r>
                          <m:rPr/>
                          <w:rPr>
                            <w:rFonts w:ascii="Times New Roman" w:hAnsi="Times New Roman" w:cs="Times New Roman"/>
                            <w:sz w:val="28"/>
                            <w:szCs w:val="28"/>
                          </w:rPr>
                          <m:t>−</m:t>
                        </m:r>
                        <m:r>
                          <m:rPr/>
                          <w:rPr>
                            <w:rFonts w:ascii="Cambria Math" w:hAnsi="Cambria Math" w:cs="Times New Roman"/>
                            <w:sz w:val="28"/>
                            <w:szCs w:val="28"/>
                          </w:rPr>
                          <m:t>Ni</m:t>
                        </m:r>
                        <m:r>
                          <m:rPr/>
                          <w:rPr>
                            <w:rFonts w:ascii="Cambria Math" w:hAnsi="Times New Roman" w:cs="Times New Roman"/>
                            <w:sz w:val="28"/>
                            <w:szCs w:val="28"/>
                          </w:rPr>
                          <m:t>.</m:t>
                        </m:r>
                        <m:r>
                          <m:rPr/>
                          <w:rPr>
                            <w:rFonts w:ascii="Cambria Math" w:hAnsi="Cambria Math" w:cs="Times New Roman"/>
                            <w:sz w:val="28"/>
                            <w:szCs w:val="28"/>
                          </w:rPr>
                          <m:t>bukuAktivatetapt</m:t>
                        </m:r>
                        <m:r>
                          <m:rPr/>
                          <w:rPr>
                            <w:rFonts w:ascii="Times New Roman" w:hAnsi="Times New Roman" w:cs="Times New Roman"/>
                            <w:sz w:val="28"/>
                            <w:szCs w:val="28"/>
                          </w:rPr>
                          <m:t>−</m:t>
                        </m:r>
                        <m:r>
                          <m:rPr/>
                          <w:rPr>
                            <w:rFonts w:ascii="Cambria Math" w:hAnsi="Cambria Math" w:cs="Times New Roman"/>
                            <w:sz w:val="28"/>
                            <w:szCs w:val="28"/>
                          </w:rPr>
                          <m:t>i</m:t>
                        </m:r>
                        <m:ctrlPr>
                          <w:rPr>
                            <w:rFonts w:ascii="Cambria Math" w:hAnsi="Times New Roman" w:cs="Times New Roman"/>
                            <w:i/>
                            <w:sz w:val="28"/>
                            <w:szCs w:val="28"/>
                          </w:rPr>
                        </m:ctrlPr>
                      </m:num>
                      <m:den>
                        <m:r>
                          <m:rPr/>
                          <w:rPr>
                            <w:rFonts w:ascii="Cambria Math" w:hAnsi="Cambria Math" w:cs="Times New Roman"/>
                            <w:sz w:val="28"/>
                            <w:szCs w:val="28"/>
                          </w:rPr>
                          <m:t>totalaktiva</m:t>
                        </m:r>
                        <m:ctrlPr>
                          <w:rPr>
                            <w:rFonts w:ascii="Cambria Math" w:hAnsi="Times New Roman" w:cs="Times New Roman"/>
                            <w:i/>
                            <w:sz w:val="28"/>
                            <w:szCs w:val="28"/>
                          </w:rPr>
                        </m:ctrlPr>
                      </m:den>
                    </m:f>
                  </m:oMath>
                </w:p>
                <w:p>
                  <w:pPr>
                    <w:spacing w:line="240" w:lineRule="auto"/>
                  </w:pPr>
                </w:p>
              </w:txbxContent>
            </v:textbox>
          </v:shape>
        </w:pict>
      </w:r>
    </w:p>
    <w:p>
      <w:pPr>
        <w:tabs>
          <w:tab w:val="left" w:pos="0"/>
          <w:tab w:val="left" w:pos="720"/>
          <w:tab w:val="left" w:pos="2865"/>
        </w:tabs>
        <w:ind w:firstLine="0"/>
        <w:rPr>
          <w:rFonts w:ascii="Times New Roman" w:hAnsi="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Dari persamaan di atas maka nilai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 </w:t>
      </w:r>
      <w:r>
        <w:rPr>
          <w:rFonts w:ascii="Times New Roman" w:hAnsi="Times New Roman" w:cs="Times New Roman"/>
          <w:sz w:val="24"/>
          <w:szCs w:val="24"/>
        </w:rPr>
        <w:t>pada perusahaan sub sektor perbankan di Bursa Efek Indonesia periode 2015-2019 dapat dilihat pada tabel berikut ini :</w:t>
      </w:r>
    </w:p>
    <w:p>
      <w:pPr>
        <w:tabs>
          <w:tab w:val="left" w:pos="0"/>
          <w:tab w:val="left" w:pos="720"/>
          <w:tab w:val="left" w:pos="2865"/>
        </w:tabs>
        <w:ind w:firstLine="0"/>
        <w:rPr>
          <w:rFonts w:ascii="Times New Roman" w:hAnsi="Times New Roman" w:cs="Times New Roman"/>
          <w:sz w:val="24"/>
          <w:szCs w:val="24"/>
        </w:rPr>
      </w:pPr>
      <w:r>
        <w:rPr>
          <w:rFonts w:ascii="Times New Roman" w:hAnsi="Times New Roman" w:cs="Times New Roman"/>
          <w:sz w:val="24"/>
          <w:szCs w:val="24"/>
        </w:rPr>
        <w:drawing>
          <wp:inline distT="0" distB="0" distL="0" distR="0">
            <wp:extent cx="4981575" cy="2463165"/>
            <wp:effectExtent l="19050" t="0" r="27992"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rPr>
          <w:rFonts w:ascii="Times New Roman" w:hAnsi="Times New Roman" w:eastAsia="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Berdasarkan hasil perhitungan di atas maka dapat diketahui bahwa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w:t>
      </w:r>
      <w:r>
        <w:rPr>
          <w:rFonts w:ascii="Times New Roman" w:hAnsi="Times New Roman" w:cs="Times New Roman"/>
          <w:i/>
          <w:sz w:val="24"/>
          <w:szCs w:val="24"/>
        </w:rPr>
        <w:t xml:space="preserve"> </w:t>
      </w:r>
      <w:r>
        <w:rPr>
          <w:rFonts w:ascii="Times New Roman" w:hAnsi="Times New Roman" w:cs="Times New Roman"/>
          <w:sz w:val="24"/>
          <w:szCs w:val="24"/>
        </w:rPr>
        <w:t xml:space="preserve">pada perusahaan sub sektor perbankan pada tahun 2015-2019 mengalami fluktuasi setiap tahunnya. Fluktuasi ini disebabkan oleh beberapa faktor antara lain dari yaitu faktor fundamental. </w:t>
      </w:r>
      <w:r>
        <w:rPr>
          <w:rStyle w:val="25"/>
          <w:rFonts w:ascii="Times New Roman" w:hAnsi="Times New Roman" w:cs="Times New Roman"/>
          <w:bCs/>
        </w:rPr>
        <w:t>Faktor fundamental</w:t>
      </w:r>
      <w:r>
        <w:rPr>
          <w:rStyle w:val="25"/>
          <w:rFonts w:ascii="Times New Roman" w:hAnsi="Times New Roman" w:cs="Times New Roman"/>
        </w:rPr>
        <w:t xml:space="preserve"> adalah </w:t>
      </w:r>
      <w:r>
        <w:rPr>
          <w:rStyle w:val="25"/>
          <w:rFonts w:ascii="Times New Roman" w:hAnsi="Times New Roman" w:cs="Times New Roman"/>
          <w:bCs/>
        </w:rPr>
        <w:t>faktor</w:t>
      </w:r>
      <w:r>
        <w:rPr>
          <w:rStyle w:val="25"/>
          <w:rFonts w:ascii="Times New Roman" w:hAnsi="Times New Roman" w:cs="Times New Roman"/>
        </w:rPr>
        <w:t xml:space="preserve"> yang berkaitan langsung dengan kinerja, dimana semakin baik kinerja , maka semakin besar pengaruhnya terhadap kenaikan harga saham</w:t>
      </w:r>
      <w:r>
        <w:rPr>
          <w:rFonts w:ascii="Times New Roman" w:hAnsi="Times New Roman" w:eastAsia="Times New Roman" w:cs="Times New Roman"/>
          <w:sz w:val="24"/>
          <w:szCs w:val="24"/>
        </w:rPr>
        <w:t xml:space="preserve">. </w:t>
      </w:r>
    </w:p>
    <w:p>
      <w:pPr>
        <w:ind w:firstLine="720"/>
        <w:rPr>
          <w:rFonts w:ascii="Times New Roman" w:hAnsi="Times New Roman" w:cs="Times New Roman"/>
          <w:sz w:val="24"/>
          <w:szCs w:val="24"/>
        </w:rPr>
      </w:pPr>
      <w:r>
        <w:rPr>
          <w:rFonts w:ascii="Times New Roman" w:hAnsi="Times New Roman" w:cs="Times New Roman"/>
          <w:sz w:val="24"/>
          <w:szCs w:val="24"/>
        </w:rPr>
        <w:t xml:space="preserve"> Pada Tahun 2015, 2016 dan 2017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 kembali mengalami kenaikan yang disebabkan karena </w:t>
      </w:r>
      <w:r>
        <w:rPr>
          <w:rFonts w:ascii="Times New Roman" w:hAnsi="Times New Roman" w:cs="Times New Roman"/>
          <w:sz w:val="24"/>
          <w:szCs w:val="24"/>
        </w:rPr>
        <w:t>perusahaan mampu meningkatkan</w:t>
      </w:r>
      <w:r>
        <w:rPr>
          <w:rStyle w:val="31"/>
          <w:rFonts w:ascii="Times New Roman" w:hAnsi="Times New Roman" w:cs="Times New Roman"/>
          <w:sz w:val="24"/>
          <w:szCs w:val="24"/>
        </w:rPr>
        <w:t xml:space="preserve"> modal tambahan sehingga perusahaan dapat memanfaatkannya untuk tambahan investasi aktiva produktifnya. Semakin besar aliran tambahan modal saham, semakin besar kemampuan perusahaan untuk memanfaatkannya sebagai tambahan investasi. Dengan demikian akan mengakibatkan kenaikan harga saham pada perusahaan. Tambahan investasi dapat meningkatkan nilai perusahaan. Jadi semakin tinggi tambahan investasi akan meningkatkan nilai perusahaan.</w:t>
      </w:r>
    </w:p>
    <w:p>
      <w:pPr>
        <w:ind w:firstLine="720"/>
        <w:rPr>
          <w:rStyle w:val="31"/>
          <w:rFonts w:ascii="Times New Roman" w:hAnsi="Times New Roman" w:cs="Times New Roman"/>
          <w:sz w:val="24"/>
          <w:szCs w:val="24"/>
        </w:rPr>
      </w:pPr>
      <w:r>
        <w:rPr>
          <w:rFonts w:ascii="Times New Roman" w:hAnsi="Times New Roman" w:cs="Times New Roman"/>
          <w:sz w:val="24"/>
          <w:szCs w:val="24"/>
        </w:rPr>
        <w:t xml:space="preserve">Pada tahun 2018 dan 2019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w:t>
      </w:r>
      <w:r>
        <w:rPr>
          <w:rFonts w:ascii="Times New Roman" w:hAnsi="Times New Roman" w:cs="Times New Roman"/>
          <w:i/>
          <w:sz w:val="24"/>
          <w:szCs w:val="24"/>
        </w:rPr>
        <w:t xml:space="preserve"> </w:t>
      </w:r>
      <w:r>
        <w:rPr>
          <w:rFonts w:ascii="Times New Roman" w:hAnsi="Times New Roman" w:cs="Times New Roman"/>
          <w:sz w:val="24"/>
          <w:szCs w:val="24"/>
        </w:rPr>
        <w:t xml:space="preserve">mengalami penurunan </w:t>
      </w:r>
      <w:r>
        <w:rPr>
          <w:rFonts w:ascii="Times New Roman" w:hAnsi="Times New Roman" w:eastAsia="Times New Roman" w:cs="Times New Roman"/>
          <w:sz w:val="24"/>
          <w:szCs w:val="24"/>
        </w:rPr>
        <w:t>terhadap saham yang dipengaruhi oleh berbagai faktor. Salah satu faktornya adalah kinerja keuangan perusahaan. Kinerja keuangan merupakan gambaran mengenai kondisi dan keadaan keuangan suatu perusahaan yang dianalisis dengan mengunakan alat-alat lah satu cara untuk menganalisis adalah dengan menggunalan rasio keuangan. Rasio keuangan umumnya dapat dilihat dari beberapa aspek, seperti aspek harga, aspek pasar, aspek aktivitas, dan aspek profitabilitas. Jika kinerja perusahaan baik, maka peruahaan tersebut bisa meningkat penjualannya sehingga keuangan yang diperoleh perusahaan tersebut juga tinggi</w:t>
      </w:r>
      <w:r>
        <w:rPr>
          <w:rStyle w:val="31"/>
          <w:rFonts w:ascii="Times New Roman" w:hAnsi="Times New Roman" w:cs="Times New Roman"/>
          <w:sz w:val="24"/>
          <w:szCs w:val="24"/>
        </w:rPr>
        <w:t xml:space="preserve"> </w:t>
      </w:r>
      <w:r>
        <w:rPr>
          <w:rFonts w:ascii="Times New Roman" w:hAnsi="Times New Roman" w:cs="Times New Roman"/>
          <w:sz w:val="24"/>
          <w:szCs w:val="24"/>
        </w:rPr>
        <w:t xml:space="preserve">sehingga dapat menghasilkan tanggapan baik dari para investor yang berdampak pada meningkatnya harga saham suatu perusahaan . Menurut </w:t>
      </w:r>
      <w:sdt>
        <w:sdtPr>
          <w:rPr>
            <w:rFonts w:ascii="Times New Roman" w:hAnsi="Times New Roman" w:cs="Times New Roman"/>
            <w:sz w:val="24"/>
            <w:szCs w:val="24"/>
          </w:rPr>
          <w:id w:val="-155977482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Agu16 \l 1033 </w:instrText>
          </w:r>
          <w:r>
            <w:rPr>
              <w:rFonts w:ascii="Times New Roman" w:hAnsi="Times New Roman" w:cs="Times New Roman"/>
              <w:sz w:val="24"/>
              <w:szCs w:val="24"/>
            </w:rPr>
            <w:fldChar w:fldCharType="separate"/>
          </w:r>
          <w:r>
            <w:rPr>
              <w:rFonts w:ascii="Times New Roman" w:hAnsi="Times New Roman" w:cs="Times New Roman"/>
              <w:sz w:val="24"/>
              <w:szCs w:val="24"/>
            </w:rPr>
            <w:t>(Agustina,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Apabila laba suatu perusahaan tinggi, maka menunjukkan perusahaan bekerja secara efisien dan efektif dalam mengelola kekayaan perusahaan dalam memperoleh laba setiap periodenya. Investor yang menanamkan saham pada suatu perusahaan tentunya mempunyai tujuan untuk mendapatkanreturn, dimana semakin tinggi kemampuan perusahaan menghasilkan laba maka semakin besar pula return yang diharapkan investor sehingga mengakibatkan nilai perusahaan akan meningkat</w:t>
      </w:r>
      <w:r>
        <w:rPr>
          <w:sz w:val="30"/>
          <w:szCs w:val="30"/>
        </w:rPr>
        <w:t>.</w:t>
      </w:r>
    </w:p>
    <w:p>
      <w:pPr>
        <w:tabs>
          <w:tab w:val="left" w:pos="0"/>
          <w:tab w:val="left" w:pos="720"/>
          <w:tab w:val="left" w:pos="2865"/>
        </w:tabs>
        <w:ind w:firstLine="0"/>
        <w:rPr>
          <w:rFonts w:ascii="Times New Roman" w:hAnsi="Times New Roman" w:cs="Times New Roman"/>
          <w:sz w:val="24"/>
          <w:szCs w:val="24"/>
        </w:rPr>
      </w:pPr>
      <w:r>
        <w:rPr>
          <w:rStyle w:val="25"/>
          <w:rFonts w:ascii="Times New Roman" w:hAnsi="Times New Roman" w:cs="Times New Roman"/>
          <w:i/>
          <w:sz w:val="24"/>
          <w:szCs w:val="24"/>
        </w:rPr>
        <w:tab/>
      </w:r>
      <w:r>
        <w:rPr>
          <w:rStyle w:val="25"/>
          <w:rFonts w:ascii="Times New Roman" w:hAnsi="Times New Roman" w:cs="Times New Roman"/>
          <w:sz w:val="24"/>
          <w:szCs w:val="24"/>
        </w:rPr>
        <w:t xml:space="preserve">Secara kesuluruhan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w:t>
      </w:r>
      <w:r>
        <w:rPr>
          <w:rFonts w:ascii="Times New Roman" w:hAnsi="Times New Roman" w:cs="Times New Roman"/>
          <w:i/>
          <w:sz w:val="24"/>
          <w:szCs w:val="24"/>
        </w:rPr>
        <w:t xml:space="preserve"> pada periode 2015-2019 </w:t>
      </w:r>
      <w:r>
        <w:rPr>
          <w:rStyle w:val="31"/>
          <w:rFonts w:ascii="Times New Roman" w:hAnsi="Times New Roman" w:cs="Times New Roman"/>
          <w:sz w:val="24"/>
          <w:szCs w:val="24"/>
        </w:rPr>
        <w:t xml:space="preserve">menunjukan bahwa perbankan didalam mengelola asset nyaa atau mengelola laba nyaa masih kurang baik, sehingga </w:t>
      </w:r>
      <w:r>
        <w:rPr>
          <w:rFonts w:ascii="Times New Roman" w:hAnsi="Times New Roman" w:cs="Times New Roman"/>
          <w:sz w:val="24"/>
          <w:szCs w:val="24"/>
        </w:rPr>
        <w:t xml:space="preserve">banyak perusahaan mengalami penurunan nilai buku aset tetapnya dan sebagian perusahaan masih ada yang belum memanfaatkan tambahan modal saham untuk meningkatkan aktiva produktifnya. Pertumbuhan asset sebagai pendekatan keputusan investasi, bahwa perusahaan yang cenderung mengalami penurunan angka minus atau tidak adanya pertumbuhan akan mempengaruhi minat investor dalam membuat keputusan investasi dalam perusahaan tersebut. Penurunan pertumbuhan asset terjadi karena perusahaan tidak mampu menawarkan asset yang dimilikinya kepada investor sebagai salah satu pilihan investasi yang pantas di periode selanjutnya. Perusahaan yang cenderung mengalami penurunan secara signifikan disinyalir tidak akan memberikan hasil positif di masa yang akan datang dan mempunyai tingkat aktivitas yang rendah </w:t>
      </w:r>
      <w:sdt>
        <w:sdtPr>
          <w:rPr>
            <w:rFonts w:ascii="Times New Roman" w:hAnsi="Times New Roman" w:cs="Times New Roman"/>
            <w:sz w:val="24"/>
            <w:szCs w:val="24"/>
          </w:rPr>
          <w:id w:val="99426540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Agu16 \l 1033 </w:instrText>
          </w:r>
          <w:r>
            <w:rPr>
              <w:rFonts w:ascii="Times New Roman" w:hAnsi="Times New Roman" w:cs="Times New Roman"/>
              <w:sz w:val="24"/>
              <w:szCs w:val="24"/>
            </w:rPr>
            <w:fldChar w:fldCharType="separate"/>
          </w:r>
          <w:r>
            <w:rPr>
              <w:rFonts w:ascii="Times New Roman" w:hAnsi="Times New Roman" w:cs="Times New Roman"/>
              <w:sz w:val="24"/>
              <w:szCs w:val="24"/>
            </w:rPr>
            <w:t>(Agustina, 2016)</w:t>
          </w:r>
          <w:r>
            <w:rPr>
              <w:rFonts w:ascii="Times New Roman" w:hAnsi="Times New Roman" w:cs="Times New Roman"/>
              <w:sz w:val="24"/>
              <w:szCs w:val="24"/>
            </w:rPr>
            <w:fldChar w:fldCharType="end"/>
          </w:r>
        </w:sdtContent>
      </w:sdt>
    </w:p>
    <w:p>
      <w:pPr>
        <w:tabs>
          <w:tab w:val="left" w:pos="0"/>
          <w:tab w:val="left" w:pos="720"/>
          <w:tab w:val="left" w:pos="2865"/>
        </w:tabs>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Dengan demikian apabila dirata-ratakan dalam lima terakhir nilai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yang diproksi menggunakan CAPBVA dengan menjumlahkan antara rata-rata pertumbuhan asset dengan total asset perusahaan sub sektor perbankan yaitu sebesar -22.08. Hal ini berarti tingkat </w:t>
      </w:r>
      <w:r>
        <w:rPr>
          <w:rFonts w:ascii="Times New Roman" w:hAnsi="Times New Roman" w:cs="Times New Roman"/>
          <w:i/>
          <w:sz w:val="24"/>
          <w:szCs w:val="24"/>
        </w:rPr>
        <w:t xml:space="preserve">Invesment Opportunity Set </w:t>
      </w:r>
      <w:r>
        <w:rPr>
          <w:rFonts w:ascii="Times New Roman" w:hAnsi="Times New Roman" w:cs="Times New Roman"/>
          <w:sz w:val="24"/>
          <w:szCs w:val="24"/>
        </w:rPr>
        <w:t xml:space="preserve">yang diproksi menggunakan CAPBVA perusahaan sub sektor perbankan yang terdaftar di Bursa Efek Indonesia periode 2010-2015 berada pada kondisi yang kritis dan daya jual asset yang rendah karena sesuai dengan ketentuan bahwa tingkat </w:t>
      </w:r>
      <w:r>
        <w:rPr>
          <w:rFonts w:ascii="Times New Roman" w:hAnsi="Times New Roman" w:cs="Times New Roman"/>
          <w:i/>
          <w:sz w:val="24"/>
          <w:szCs w:val="24"/>
        </w:rPr>
        <w:t xml:space="preserve">Invesment Opportunity Set </w:t>
      </w:r>
      <w:r>
        <w:rPr>
          <w:rFonts w:ascii="Times New Roman" w:hAnsi="Times New Roman" w:cs="Times New Roman"/>
          <w:sz w:val="24"/>
          <w:szCs w:val="24"/>
        </w:rPr>
        <w:t>yang diproksi menggunakan CAPBVA menunjukan nilai sebesar 0,30 yang artinya perusahaan dalam keadaan sehat dan normal.</w:t>
      </w:r>
    </w:p>
    <w:p>
      <w:pPr>
        <w:pStyle w:val="23"/>
        <w:numPr>
          <w:ilvl w:val="2"/>
          <w:numId w:val="63"/>
        </w:numPr>
        <w:tabs>
          <w:tab w:val="left" w:pos="0"/>
          <w:tab w:val="left" w:pos="720"/>
          <w:tab w:val="left" w:pos="2865"/>
        </w:tabs>
        <w:ind w:left="990"/>
        <w:rPr>
          <w:rFonts w:ascii="Times New Roman" w:hAnsi="Times New Roman" w:cs="Times New Roman"/>
          <w:b/>
          <w:sz w:val="24"/>
          <w:szCs w:val="24"/>
        </w:rPr>
      </w:pPr>
      <w:r>
        <w:rPr>
          <w:rFonts w:ascii="Times New Roman" w:hAnsi="Times New Roman" w:cs="Times New Roman"/>
          <w:b/>
          <w:i/>
          <w:sz w:val="24"/>
          <w:szCs w:val="24"/>
        </w:rPr>
        <w:t>Corporate Social Responsibility</w:t>
      </w:r>
      <w:r>
        <w:rPr>
          <w:rFonts w:ascii="Times New Roman" w:hAnsi="Times New Roman" w:cs="Times New Roman"/>
          <w:b/>
          <w:sz w:val="24"/>
          <w:szCs w:val="24"/>
        </w:rPr>
        <w:t xml:space="preserve"> (X4)</w:t>
      </w:r>
    </w:p>
    <w:p>
      <w:pPr>
        <w:tabs>
          <w:tab w:val="left" w:pos="8550"/>
        </w:tabs>
        <w:ind w:firstLine="810"/>
        <w:rPr>
          <w:rFonts w:ascii="Times New Roman" w:hAnsi="Times New Roman" w:cs="Times New Roman"/>
          <w:b/>
          <w:sz w:val="24"/>
          <w:szCs w:val="24"/>
        </w:rPr>
      </w:pPr>
      <w:r>
        <w:rPr>
          <w:rFonts w:ascii="Times New Roman" w:hAnsi="Times New Roman" w:cs="Times New Roman"/>
          <w:i/>
          <w:sz w:val="24"/>
          <w:szCs w:val="24"/>
        </w:rPr>
        <w:t xml:space="preserve">Corporate Social Responsibility dapat di ukur dengan CSRI Disclosure Index (CSRI). </w:t>
      </w:r>
      <w:r>
        <w:rPr>
          <w:rFonts w:ascii="Times New Roman" w:hAnsi="Times New Roman" w:cs="Times New Roman"/>
          <w:sz w:val="24"/>
          <w:szCs w:val="24"/>
        </w:rPr>
        <w:t xml:space="preserve">Untuk menentukan tingkat pengungkapan informasi sosial dalam laporan tahunan digunakan dikotomi, dimana setiap item CSR (jika diungkapkan) pada alat penelitian memiliki nilai 1, dan jika tidak diungkapkan nilainya adalah 0 . Untuk mendapatkan nilai perusahaan secara keseluruhan dapat diperoleh dengan menjumlahkan semua nilai dari setiap item yang diperoleh. </w:t>
      </w:r>
      <w:sdt>
        <w:sdtPr>
          <w:rPr>
            <w:rFonts w:ascii="Times New Roman" w:hAnsi="Times New Roman" w:cs="Times New Roman"/>
            <w:sz w:val="24"/>
            <w:szCs w:val="24"/>
          </w:rPr>
          <w:id w:val="1468243933"/>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Kho19 \l 1033 </w:instrText>
          </w:r>
          <w:r>
            <w:rPr>
              <w:rFonts w:ascii="Times New Roman" w:hAnsi="Times New Roman" w:cs="Times New Roman"/>
              <w:sz w:val="24"/>
              <w:szCs w:val="24"/>
            </w:rPr>
            <w:fldChar w:fldCharType="separate"/>
          </w:r>
          <w:r>
            <w:rPr>
              <w:rFonts w:ascii="Times New Roman" w:hAnsi="Times New Roman" w:cs="Times New Roman"/>
              <w:sz w:val="24"/>
              <w:szCs w:val="24"/>
            </w:rPr>
            <w:t>(Kholida &amp; Susilo, 2019)</w:t>
          </w:r>
          <w:r>
            <w:rPr>
              <w:rFonts w:ascii="Times New Roman" w:hAnsi="Times New Roman" w:cs="Times New Roman"/>
              <w:sz w:val="24"/>
              <w:szCs w:val="24"/>
            </w:rPr>
            <w:fldChar w:fldCharType="end"/>
          </w:r>
        </w:sdtContent>
      </w:sdt>
    </w:p>
    <w:p>
      <w:pPr>
        <w:tabs>
          <w:tab w:val="left" w:pos="720"/>
        </w:tabs>
        <w:ind w:firstLine="0"/>
        <w:jc w:val="center"/>
        <w:rPr>
          <w:rFonts w:ascii="Times New Roman" w:hAnsi="Times New Roman" w:cs="Times New Roman"/>
          <w:sz w:val="24"/>
          <w:szCs w:val="24"/>
        </w:rPr>
      </w:pPr>
      <w:r>
        <w:rPr>
          <w:rFonts w:ascii="Times New Roman" w:hAnsi="Times New Roman" w:cs="Times New Roman"/>
          <w:sz w:val="24"/>
          <w:szCs w:val="24"/>
          <w:lang w:eastAsia="zh-TW"/>
        </w:rPr>
        <w:pict>
          <v:shape id="_x0000_s1151" o:spid="_x0000_s1151" o:spt="202" type="#_x0000_t202" style="position:absolute;left:0pt;margin-top:19.2pt;height:53.6pt;width:140.45pt;mso-position-horizontal:center;z-index:251697152;mso-width-relative:margin;mso-height-relative:margin;" coordsize="21600,21600">
            <v:path/>
            <v:fill focussize="0,0"/>
            <v:stroke joinstyle="miter"/>
            <v:imagedata o:title=""/>
            <o:lock v:ext="edit"/>
            <v:textbox>
              <w:txbxContent>
                <w:p>
                  <w:pPr>
                    <w:tabs>
                      <w:tab w:val="left" w:pos="720"/>
                    </w:tabs>
                    <w:ind w:firstLine="0"/>
                    <w:jc w:val="center"/>
                    <w:rPr>
                      <w:rFonts w:ascii="Times New Roman" w:hAnsi="Times New Roman" w:cs="Times New Roman" w:eastAsiaTheme="minorEastAsia"/>
                      <w:sz w:val="24"/>
                      <w:szCs w:val="24"/>
                    </w:rPr>
                  </w:pPr>
                  <w:r>
                    <w:rPr>
                      <w:rFonts w:ascii="Times New Roman" w:hAnsi="Times New Roman" w:cs="Times New Roman"/>
                      <w:sz w:val="28"/>
                      <w:szCs w:val="28"/>
                    </w:rPr>
                    <w:t xml:space="preserve">CSRIj </w:t>
                  </w:r>
                  <w:r>
                    <w:rPr>
                      <w:rFonts w:ascii="Times New Roman" w:hAnsi="Times New Roman" w:cs="Times New Roman"/>
                      <w:sz w:val="24"/>
                      <w:szCs w:val="24"/>
                    </w:rPr>
                    <w:t xml:space="preserve">= </w:t>
                  </w:r>
                  <m:oMath>
                    <m:f>
                      <m:fPr>
                        <m:ctrlPr>
                          <w:rPr>
                            <w:rFonts w:ascii="Cambria Math" w:hAnsi="Times New Roman" w:cs="Times New Roman"/>
                            <w:i/>
                            <w:sz w:val="40"/>
                            <w:szCs w:val="40"/>
                          </w:rPr>
                        </m:ctrlPr>
                      </m:fPr>
                      <m:num>
                        <m:nary>
                          <m:naryPr>
                            <m:chr m:val="∑"/>
                            <m:limLoc m:val="undOvr"/>
                            <m:subHide m:val="1"/>
                            <m:supHide m:val="1"/>
                            <m:ctrlPr>
                              <w:rPr>
                                <w:rFonts w:ascii="Cambria Math" w:hAnsi="Times New Roman" w:cs="Times New Roman"/>
                                <w:i/>
                                <w:sz w:val="40"/>
                                <w:szCs w:val="40"/>
                              </w:rPr>
                            </m:ctrlPr>
                          </m:naryPr>
                          <m:sub>
                            <m:ctrlPr>
                              <w:rPr>
                                <w:rFonts w:ascii="Cambria Math" w:hAnsi="Times New Roman" w:cs="Times New Roman"/>
                                <w:i/>
                                <w:sz w:val="40"/>
                                <w:szCs w:val="40"/>
                              </w:rPr>
                            </m:ctrlPr>
                          </m:sub>
                          <m:sup>
                            <m:ctrlPr>
                              <w:rPr>
                                <w:rFonts w:ascii="Cambria Math" w:hAnsi="Times New Roman" w:cs="Times New Roman"/>
                                <w:i/>
                                <w:sz w:val="40"/>
                                <w:szCs w:val="40"/>
                              </w:rPr>
                            </m:ctrlPr>
                          </m:sup>
                          <m:e>
                            <m:r>
                              <m:rPr/>
                              <w:rPr>
                                <w:rFonts w:ascii="Cambria Math" w:hAnsi="Cambria Math" w:cs="Times New Roman"/>
                                <w:sz w:val="40"/>
                                <w:szCs w:val="40"/>
                              </w:rPr>
                              <m:t>XiJ</m:t>
                            </m:r>
                            <m:ctrlPr>
                              <w:rPr>
                                <w:rFonts w:ascii="Cambria Math" w:hAnsi="Times New Roman" w:cs="Times New Roman"/>
                                <w:i/>
                                <w:sz w:val="40"/>
                                <w:szCs w:val="40"/>
                              </w:rPr>
                            </m:ctrlPr>
                          </m:e>
                        </m:nary>
                        <m:ctrlPr>
                          <w:rPr>
                            <w:rFonts w:ascii="Cambria Math" w:hAnsi="Times New Roman" w:cs="Times New Roman"/>
                            <w:i/>
                            <w:sz w:val="40"/>
                            <w:szCs w:val="40"/>
                          </w:rPr>
                        </m:ctrlPr>
                      </m:num>
                      <m:den>
                        <m:r>
                          <m:rPr/>
                          <w:rPr>
                            <w:rFonts w:ascii="Cambria Math" w:hAnsi="Cambria Math" w:cs="Times New Roman"/>
                            <w:sz w:val="40"/>
                            <w:szCs w:val="40"/>
                          </w:rPr>
                          <m:t>n</m:t>
                        </m:r>
                        <m:ctrlPr>
                          <w:rPr>
                            <w:rFonts w:ascii="Cambria Math" w:hAnsi="Times New Roman" w:cs="Times New Roman"/>
                            <w:i/>
                            <w:sz w:val="40"/>
                            <w:szCs w:val="40"/>
                          </w:rPr>
                        </m:ctrlPr>
                      </m:den>
                    </m:f>
                  </m:oMath>
                </w:p>
                <w:p/>
              </w:txbxContent>
            </v:textbox>
          </v:shape>
        </w:pict>
      </w:r>
      <w:r>
        <w:rPr>
          <w:rFonts w:ascii="Times New Roman" w:hAnsi="Times New Roman" w:cs="Times New Roman"/>
          <w:sz w:val="24"/>
          <w:szCs w:val="24"/>
        </w:rPr>
        <w:t>CSR dapat dihitung dengan rumus sebagai berikut :</w:t>
      </w:r>
    </w:p>
    <w:p>
      <w:pPr>
        <w:tabs>
          <w:tab w:val="left" w:pos="720"/>
        </w:tabs>
        <w:ind w:firstLine="0"/>
        <w:rPr>
          <w:rFonts w:ascii="Times New Roman" w:hAnsi="Times New Roman" w:cs="Times New Roman" w:eastAsiaTheme="minorEastAsia"/>
          <w:i/>
          <w:sz w:val="24"/>
          <w:szCs w:val="24"/>
        </w:rPr>
      </w:pPr>
    </w:p>
    <w:p>
      <w:pPr>
        <w:tabs>
          <w:tab w:val="left" w:pos="0"/>
          <w:tab w:val="left" w:pos="720"/>
          <w:tab w:val="left" w:pos="2865"/>
        </w:tabs>
        <w:ind w:firstLine="0"/>
        <w:rPr>
          <w:rStyle w:val="25"/>
          <w:rFonts w:ascii="Times New Roman" w:hAnsi="Times New Roman" w:cs="Times New Roman"/>
          <w:sz w:val="24"/>
          <w:szCs w:val="24"/>
        </w:rPr>
      </w:pPr>
      <w:r>
        <w:rPr>
          <w:rStyle w:val="25"/>
          <w:rFonts w:ascii="Times New Roman" w:hAnsi="Times New Roman" w:cs="Times New Roman"/>
          <w:sz w:val="24"/>
          <w:szCs w:val="24"/>
        </w:rPr>
        <w:tab/>
      </w:r>
    </w:p>
    <w:p>
      <w:pPr>
        <w:tabs>
          <w:tab w:val="left" w:pos="0"/>
          <w:tab w:val="left" w:pos="720"/>
          <w:tab w:val="left" w:pos="2865"/>
        </w:tabs>
        <w:ind w:firstLine="0"/>
        <w:rPr>
          <w:rFonts w:ascii="Times New Roman" w:hAnsi="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Dari persamaan di atas maka nilai </w:t>
      </w:r>
      <w:r>
        <w:rPr>
          <w:rFonts w:ascii="Times New Roman" w:hAnsi="Times New Roman" w:cs="Times New Roman"/>
          <w:i/>
          <w:sz w:val="24"/>
          <w:szCs w:val="24"/>
        </w:rPr>
        <w:t>Corporate Social Responsibility (CSR)</w:t>
      </w:r>
      <w:r>
        <w:rPr>
          <w:rStyle w:val="25"/>
          <w:rFonts w:ascii="Times New Roman" w:hAnsi="Times New Roman" w:cs="Times New Roman"/>
          <w:sz w:val="24"/>
          <w:szCs w:val="24"/>
        </w:rPr>
        <w:t xml:space="preserve"> </w:t>
      </w:r>
      <w:r>
        <w:rPr>
          <w:rFonts w:ascii="Times New Roman" w:hAnsi="Times New Roman" w:cs="Times New Roman"/>
          <w:sz w:val="24"/>
          <w:szCs w:val="24"/>
        </w:rPr>
        <w:t>pada perusahaan sub sektor perbankan di Bursa Efek Indonesia periode 2015-2019 dapat dilihat pada tabel berikut ini :</w:t>
      </w:r>
    </w:p>
    <w:p>
      <w:pPr>
        <w:tabs>
          <w:tab w:val="left" w:pos="0"/>
          <w:tab w:val="left" w:pos="720"/>
          <w:tab w:val="left" w:pos="2865"/>
        </w:tabs>
        <w:ind w:firstLine="0"/>
        <w:rPr>
          <w:rFonts w:ascii="Times New Roman" w:hAnsi="Times New Roman" w:cs="Times New Roman"/>
          <w:sz w:val="24"/>
          <w:szCs w:val="24"/>
        </w:rPr>
      </w:pPr>
      <w:r>
        <w:rPr>
          <w:rFonts w:ascii="Times New Roman" w:hAnsi="Times New Roman" w:cs="Times New Roman"/>
          <w:sz w:val="24"/>
          <w:szCs w:val="24"/>
        </w:rPr>
        <w:drawing>
          <wp:inline distT="0" distB="0" distL="0" distR="0">
            <wp:extent cx="4391025" cy="3038475"/>
            <wp:effectExtent l="19050" t="0" r="9525" b="0"/>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Berdasarkan hasil perhitungan diatas maka dapat diketahui bahwa </w:t>
      </w:r>
      <w:r>
        <w:rPr>
          <w:rStyle w:val="31"/>
          <w:rFonts w:ascii="Times New Roman" w:hAnsi="Times New Roman" w:cs="Times New Roman"/>
          <w:sz w:val="24"/>
          <w:szCs w:val="24"/>
        </w:rPr>
        <w:t xml:space="preserve">Pengungkapan </w:t>
      </w:r>
      <w:r>
        <w:rPr>
          <w:rStyle w:val="31"/>
          <w:rFonts w:ascii="Times New Roman" w:hAnsi="Times New Roman" w:cs="Times New Roman"/>
          <w:i/>
          <w:sz w:val="24"/>
          <w:szCs w:val="24"/>
        </w:rPr>
        <w:t>Corporate Social Responsibilty</w:t>
      </w:r>
      <w:r>
        <w:rPr>
          <w:rStyle w:val="31"/>
          <w:rFonts w:ascii="Times New Roman" w:hAnsi="Times New Roman" w:cs="Times New Roman"/>
          <w:sz w:val="24"/>
          <w:szCs w:val="24"/>
        </w:rPr>
        <w:t xml:space="preserve"> pada tahun 2015 – 2019 memiliki nilai rata-rata 0.39 pertumbuhan kategori yang bagus. Sesuai dalam </w:t>
      </w:r>
      <w:r>
        <w:rPr>
          <w:rStyle w:val="25"/>
          <w:rFonts w:ascii="Times New Roman" w:hAnsi="Times New Roman" w:cs="Times New Roman"/>
          <w:sz w:val="24"/>
          <w:szCs w:val="24"/>
        </w:rPr>
        <w:t xml:space="preserve">RUU </w:t>
      </w:r>
      <w:r>
        <w:rPr>
          <w:rStyle w:val="31"/>
          <w:rFonts w:ascii="Times New Roman" w:hAnsi="Times New Roman" w:cs="Times New Roman"/>
          <w:sz w:val="24"/>
          <w:szCs w:val="24"/>
        </w:rPr>
        <w:t xml:space="preserve">Kategori </w:t>
      </w:r>
      <w:r>
        <w:rPr>
          <w:rStyle w:val="31"/>
          <w:rFonts w:ascii="Times New Roman" w:hAnsi="Times New Roman" w:cs="Times New Roman"/>
          <w:i/>
          <w:sz w:val="24"/>
          <w:szCs w:val="24"/>
        </w:rPr>
        <w:t>Corporate Social Responsibilty</w:t>
      </w:r>
      <w:r>
        <w:rPr>
          <w:rStyle w:val="31"/>
          <w:rFonts w:ascii="Times New Roman" w:hAnsi="Times New Roman" w:cs="Times New Roman"/>
          <w:sz w:val="24"/>
          <w:szCs w:val="24"/>
        </w:rPr>
        <w:t xml:space="preserve"> yang bagus </w:t>
      </w:r>
      <w:r>
        <w:rPr>
          <w:rStyle w:val="25"/>
          <w:rFonts w:ascii="Times New Roman" w:hAnsi="Times New Roman" w:cs="Times New Roman"/>
          <w:sz w:val="24"/>
          <w:szCs w:val="24"/>
        </w:rPr>
        <w:t xml:space="preserve">sebesar 2%. Penyebab Pertumbuhan </w:t>
      </w:r>
      <w:r>
        <w:rPr>
          <w:rStyle w:val="31"/>
          <w:rFonts w:ascii="Times New Roman" w:hAnsi="Times New Roman" w:cs="Times New Roman"/>
          <w:i/>
          <w:sz w:val="24"/>
          <w:szCs w:val="24"/>
        </w:rPr>
        <w:t>Corporate Social Responsibilty</w:t>
      </w:r>
      <w:r>
        <w:rPr>
          <w:rStyle w:val="25"/>
          <w:rFonts w:ascii="Times New Roman" w:hAnsi="Times New Roman" w:cs="Times New Roman"/>
          <w:sz w:val="24"/>
          <w:szCs w:val="24"/>
        </w:rPr>
        <w:t xml:space="preserve"> dalam kategori bagus yaitu disebabkan karena</w:t>
      </w:r>
      <w:r>
        <w:rPr>
          <w:rStyle w:val="31"/>
          <w:rFonts w:ascii="Times New Roman" w:hAnsi="Times New Roman" w:cs="Times New Roman"/>
          <w:sz w:val="24"/>
          <w:szCs w:val="24"/>
        </w:rPr>
        <w:t xml:space="preserve"> meningkatnya penegakan peraturan tentang tanggung jawab sosial perusahaan. Menurut Pernyataan Standar Akuntansi Keuangan (PSAK) No 1(revisi 2009) paragraf 12, yakni: “Entitas dapat pula menyajikan, terpisah dari laporan keuangan, laporan mengenai lingkungan hidup dan laporan nilai tambah (</w:t>
      </w:r>
      <w:r>
        <w:rPr>
          <w:rStyle w:val="31"/>
          <w:rFonts w:ascii="Times New Roman" w:hAnsi="Times New Roman" w:cs="Times New Roman"/>
          <w:i/>
          <w:sz w:val="24"/>
          <w:szCs w:val="24"/>
        </w:rPr>
        <w:t>value added statement).</w:t>
      </w:r>
      <w:r>
        <w:rPr>
          <w:rStyle w:val="31"/>
          <w:rFonts w:ascii="Times New Roman" w:hAnsi="Times New Roman" w:cs="Times New Roman"/>
          <w:sz w:val="24"/>
          <w:szCs w:val="24"/>
        </w:rPr>
        <w:t xml:space="preserve"> Khususnya bagi industri dimana faktor lingkungan hidup memegang peranan penting bagi industri yang menganggap karyawan sebagai kelompok pengguna laporan yang memegang peranan penting. Laporan tambahan tersebut di luar ruang lingkup Standar Akuntansi Keuangan.Undang-Undang no 40 tahun 2007 tentang Perseroan Terbatas sudah mewajibkan perusahaan untuk menjalankan kegiatan sosialnya dan di dukung oleh PSAK. PSAK no 101 tentang penyusunan laporan keuangan syariah tahun 2004 paragraf 14 menyatakan “Apabila entitas syariah belum melaksanakan fungsi sosial secara penuh, entitas syariah tersebut tetap harus menyajikan komponen aporan keuangan paragraf 11(e) dan (f)”. Dari pernyataan PSAK syariah yang belum mewajibkan membuat laporan sosial hanya diharuskan menyajikan laporan keuangan saja. Hal ini membuat perusahaan membuat laporan CSR hanya sebagai suatu laporan agar dipandang baik oleh masyarakat dan menghindari konflik sosial.</w:t>
      </w:r>
    </w:p>
    <w:p>
      <w:pPr>
        <w:ind w:firstLine="720"/>
        <w:rPr>
          <w:rStyle w:val="31"/>
          <w:rFonts w:ascii="Times New Roman" w:hAnsi="Times New Roman" w:cs="Times New Roman"/>
          <w:sz w:val="24"/>
          <w:szCs w:val="24"/>
        </w:rPr>
      </w:pPr>
      <w:r>
        <w:rPr>
          <w:rStyle w:val="31"/>
          <w:rFonts w:ascii="Times New Roman" w:hAnsi="Times New Roman" w:cs="Times New Roman"/>
          <w:sz w:val="24"/>
          <w:szCs w:val="24"/>
        </w:rPr>
        <w:t xml:space="preserve">Secara keseluruhan ketika perusahaan pada sub sektor perbankan belum mengungkapkan item </w:t>
      </w:r>
      <w:r>
        <w:rPr>
          <w:rStyle w:val="31"/>
          <w:rFonts w:ascii="Times New Roman" w:hAnsi="Times New Roman" w:cs="Times New Roman"/>
          <w:i/>
          <w:sz w:val="24"/>
          <w:szCs w:val="24"/>
        </w:rPr>
        <w:t>Corporate Social Responsibilty</w:t>
      </w:r>
      <w:r>
        <w:rPr>
          <w:rStyle w:val="31"/>
          <w:rFonts w:ascii="Times New Roman" w:hAnsi="Times New Roman" w:cs="Times New Roman"/>
          <w:sz w:val="24"/>
          <w:szCs w:val="24"/>
        </w:rPr>
        <w:t xml:space="preserve"> maka perusahaan bisa terancam akan menghadapi masalah sosial, seperti adanya demo yang dilakukan masyarakat, adanya konspirasi, dan lain sebagainya dimana hal tersebut dapat menghambat produktivitas perusahaan. Tetapi jika perusahaan sudah mengungkapkan item </w:t>
      </w:r>
      <w:r>
        <w:rPr>
          <w:rStyle w:val="31"/>
          <w:rFonts w:ascii="Times New Roman" w:hAnsi="Times New Roman" w:cs="Times New Roman"/>
          <w:i/>
          <w:sz w:val="24"/>
          <w:szCs w:val="24"/>
        </w:rPr>
        <w:t>Corporate Social Responsibilty</w:t>
      </w:r>
      <w:r>
        <w:rPr>
          <w:rStyle w:val="31"/>
          <w:rFonts w:ascii="Times New Roman" w:hAnsi="Times New Roman" w:cs="Times New Roman"/>
          <w:sz w:val="24"/>
          <w:szCs w:val="24"/>
        </w:rPr>
        <w:t xml:space="preserve"> bisa berpengaruh pada nilai perusahaan. </w:t>
      </w:r>
      <w:r>
        <w:rPr>
          <w:rFonts w:ascii="Times New Roman" w:hAnsi="Times New Roman" w:cs="Times New Roman"/>
          <w:sz w:val="24"/>
          <w:szCs w:val="24"/>
        </w:rPr>
        <w:t>Berdasarkan hasil penelitian, naiknya pengungkapan CSR akan berpengaruh pada nilai perusahaan, dimana semakin tinggi pengungkapan CSR pada perusahaan, maka perusahaan akan memiliki tingkat kegiatan CSR yang tinggi, dan kegiatan CSR yang tinggi ini akan menarik simpati masyarakat dan perusahaan tersebut dapat diterima di masyarakat sehingga masyarakat memberikan pandangan baik terhadap perusahaan tersebut yang akan berdampak pada citra perusahaan tersebut dan akan menaikan nilai dari perusahaan tersebut.</w:t>
      </w:r>
    </w:p>
    <w:p>
      <w:pPr>
        <w:pStyle w:val="23"/>
        <w:numPr>
          <w:ilvl w:val="2"/>
          <w:numId w:val="63"/>
        </w:numPr>
        <w:tabs>
          <w:tab w:val="left" w:pos="720"/>
        </w:tabs>
        <w:ind w:left="990" w:hanging="990"/>
        <w:rPr>
          <w:rStyle w:val="31"/>
          <w:rFonts w:ascii="Times New Roman" w:hAnsi="Times New Roman" w:cs="Times New Roman"/>
          <w:b/>
          <w:sz w:val="24"/>
          <w:szCs w:val="24"/>
        </w:rPr>
      </w:pPr>
      <w:r>
        <w:rPr>
          <w:rStyle w:val="31"/>
          <w:rFonts w:ascii="Times New Roman" w:hAnsi="Times New Roman" w:cs="Times New Roman"/>
          <w:b/>
          <w:sz w:val="24"/>
          <w:szCs w:val="24"/>
        </w:rPr>
        <w:t>Risiko Bisnis (X4)</w:t>
      </w:r>
    </w:p>
    <w:p>
      <w:pPr>
        <w:ind w:firstLine="720"/>
        <w:rPr>
          <w:rFonts w:ascii="Times New Roman" w:hAnsi="Times New Roman" w:cs="Times New Roman"/>
          <w:sz w:val="24"/>
          <w:szCs w:val="24"/>
        </w:rPr>
      </w:pPr>
      <w:r>
        <w:rPr>
          <w:rFonts w:ascii="Times New Roman" w:hAnsi="Times New Roman" w:cs="Times New Roman"/>
          <w:sz w:val="24"/>
          <w:szCs w:val="24"/>
        </w:rPr>
        <w:t>Tingkat risiko bisnis suatu perusahaan dapat dilihat dari perhitungan EBIT dibagi total aktiva, sehingga dari pembagian itu dapat dilihat besar kecilnya risiko bisnis yang ditentukan dari total aktiva yang dimiliki perusahaan.Menurut Ratri dan Ari (2017) Risiko bisnis adalah penyimpangan dari laba yang dicapai, dalam penelitian ini diukur dengan menggunakan</w:t>
      </w:r>
      <w:r>
        <w:rPr>
          <w:rFonts w:ascii="Times New Roman" w:hAnsi="Times New Roman" w:cs="Times New Roman"/>
          <w:i/>
          <w:sz w:val="24"/>
          <w:szCs w:val="24"/>
        </w:rPr>
        <w:t xml:space="preserve"> BRISK (Business Risk) </w:t>
      </w:r>
      <w:r>
        <w:rPr>
          <w:rFonts w:ascii="Times New Roman" w:hAnsi="Times New Roman" w:cs="Times New Roman"/>
          <w:sz w:val="24"/>
          <w:szCs w:val="24"/>
        </w:rPr>
        <w:t xml:space="preserve">(Wardana dan Sudiartha, 2015) Risiko bisnis pada penelitian ini diproksikan dengan EBIT </w:t>
      </w:r>
      <w:r>
        <w:rPr>
          <w:rFonts w:ascii="Times New Roman" w:hAnsi="Times New Roman" w:cs="Times New Roman"/>
          <w:i/>
          <w:sz w:val="24"/>
          <w:szCs w:val="24"/>
        </w:rPr>
        <w:t>(Earning Before Interest and Tax).</w:t>
      </w:r>
    </w:p>
    <w:p>
      <w:pPr>
        <w:ind w:firstLine="0"/>
        <w:rPr>
          <w:rStyle w:val="31"/>
          <w:rFonts w:ascii="Times New Roman" w:hAnsi="Times New Roman" w:cs="Times New Roman"/>
          <w:sz w:val="24"/>
          <w:szCs w:val="24"/>
        </w:rPr>
      </w:pPr>
      <w:r>
        <w:pict>
          <v:shape id="_x0000_s1152" o:spid="_x0000_s1152" o:spt="202" type="#_x0000_t202" style="position:absolute;left:0pt;margin-left:123.45pt;margin-top:14.85pt;height:63.4pt;width:186.75pt;z-index:251698176;mso-width-relative:margin;mso-height-relative:margin;" coordsize="21600,21600">
            <v:path/>
            <v:fill focussize="0,0"/>
            <v:stroke joinstyle="miter"/>
            <v:imagedata o:title=""/>
            <o:lock v:ext="edit"/>
            <v:textbox>
              <w:txbxContent>
                <w:p>
                  <w:pPr>
                    <w:tabs>
                      <w:tab w:val="left" w:pos="720"/>
                    </w:tabs>
                    <w:spacing w:line="240" w:lineRule="auto"/>
                    <w:ind w:firstLine="0"/>
                  </w:pPr>
                  <w:r>
                    <w:rPr>
                      <w:rFonts w:ascii="Times New Roman" w:hAnsi="Times New Roman" w:cs="Times New Roman"/>
                      <w:sz w:val="24"/>
                      <w:szCs w:val="24"/>
                    </w:rPr>
                    <w:t>BRISK   =</w:t>
                  </w:r>
                  <m:oMath>
                    <m:f>
                      <m:fPr>
                        <m:ctrlPr>
                          <w:rPr>
                            <w:rFonts w:ascii="Cambria Math" w:hAnsi="Times New Roman" w:cs="Times New Roman"/>
                            <w:i/>
                            <w:sz w:val="24"/>
                            <w:szCs w:val="24"/>
                          </w:rPr>
                        </m:ctrlPr>
                      </m:fPr>
                      <m:num>
                        <m:r>
                          <m:rPr/>
                          <w:rPr>
                            <w:rFonts w:ascii="Cambria Math" w:hAnsi="Cambria Math" w:cs="Times New Roman"/>
                            <w:sz w:val="24"/>
                            <w:szCs w:val="24"/>
                          </w:rPr>
                          <m:t>EBIT</m:t>
                        </m:r>
                        <m:ctrlPr>
                          <w:rPr>
                            <w:rFonts w:ascii="Cambria Math" w:hAnsi="Times New Roman" w:cs="Times New Roman"/>
                            <w:i/>
                            <w:sz w:val="24"/>
                            <w:szCs w:val="24"/>
                          </w:rPr>
                        </m:ctrlPr>
                      </m:num>
                      <m:den>
                        <m:r>
                          <m:rPr/>
                          <w:rPr>
                            <w:rFonts w:ascii="Cambria Math" w:hAnsi="Cambria Math" w:cs="Times New Roman"/>
                            <w:sz w:val="24"/>
                            <w:szCs w:val="24"/>
                          </w:rPr>
                          <m:t xml:space="preserve">  TOTALASET</m:t>
                        </m:r>
                        <m:ctrlPr>
                          <w:rPr>
                            <w:rFonts w:ascii="Cambria Math" w:hAnsi="Times New Roman" w:cs="Times New Roman"/>
                            <w:i/>
                            <w:sz w:val="24"/>
                            <w:szCs w:val="24"/>
                          </w:rPr>
                        </m:ctrlPr>
                      </m:den>
                    </m:f>
                  </m:oMath>
                  <w:r>
                    <w:rPr>
                      <w:rFonts w:ascii="Times New Roman" w:hAnsi="Times New Roman" w:cs="Times New Roman" w:eastAsiaTheme="minorEastAsia"/>
                      <w:sz w:val="24"/>
                      <w:szCs w:val="24"/>
                    </w:rPr>
                    <w:t>X 100%</w:t>
                  </w:r>
                </w:p>
              </w:txbxContent>
            </v:textbox>
          </v:shape>
        </w:pict>
      </w:r>
    </w:p>
    <w:p>
      <w:pPr>
        <w:ind w:firstLine="720"/>
        <w:rPr>
          <w:rStyle w:val="31"/>
          <w:rFonts w:ascii="Times New Roman" w:hAnsi="Times New Roman" w:cs="Times New Roman"/>
          <w:sz w:val="24"/>
          <w:szCs w:val="24"/>
        </w:rPr>
      </w:pPr>
    </w:p>
    <w:p>
      <w:pPr>
        <w:ind w:firstLine="0"/>
        <w:rPr>
          <w:rStyle w:val="31"/>
          <w:rFonts w:ascii="Times New Roman" w:hAnsi="Times New Roman" w:cs="Times New Roman"/>
          <w:sz w:val="24"/>
          <w:szCs w:val="24"/>
        </w:rPr>
      </w:pPr>
    </w:p>
    <w:p>
      <w:pPr>
        <w:ind w:firstLine="0"/>
        <w:rPr>
          <w:rStyle w:val="31"/>
          <w:rFonts w:ascii="Times New Roman" w:hAnsi="Times New Roman" w:cs="Times New Roman"/>
          <w:sz w:val="24"/>
          <w:szCs w:val="24"/>
        </w:rPr>
      </w:pPr>
    </w:p>
    <w:p>
      <w:pPr>
        <w:tabs>
          <w:tab w:val="left" w:pos="0"/>
          <w:tab w:val="left" w:pos="720"/>
          <w:tab w:val="left" w:pos="2865"/>
        </w:tabs>
        <w:ind w:firstLine="0"/>
        <w:rPr>
          <w:rFonts w:ascii="Times New Roman" w:hAnsi="Times New Roman" w:cs="Times New Roman"/>
          <w:sz w:val="24"/>
          <w:szCs w:val="24"/>
        </w:rPr>
      </w:pPr>
      <w:r>
        <w:rPr>
          <w:rStyle w:val="25"/>
          <w:rFonts w:ascii="Times New Roman" w:hAnsi="Times New Roman" w:cs="Times New Roman"/>
          <w:sz w:val="24"/>
          <w:szCs w:val="24"/>
        </w:rPr>
        <w:tab/>
      </w:r>
      <w:r>
        <w:rPr>
          <w:rStyle w:val="25"/>
          <w:rFonts w:ascii="Times New Roman" w:hAnsi="Times New Roman" w:cs="Times New Roman"/>
          <w:sz w:val="24"/>
          <w:szCs w:val="24"/>
        </w:rPr>
        <w:t xml:space="preserve">Dari persamaan di atas maka nilai </w:t>
      </w:r>
      <w:r>
        <w:rPr>
          <w:rFonts w:ascii="Times New Roman" w:hAnsi="Times New Roman" w:cs="Times New Roman"/>
          <w:i/>
          <w:sz w:val="24"/>
          <w:szCs w:val="24"/>
        </w:rPr>
        <w:t>Corporate Social Responsibility (CSR)</w:t>
      </w:r>
      <w:r>
        <w:rPr>
          <w:rStyle w:val="25"/>
          <w:rFonts w:ascii="Times New Roman" w:hAnsi="Times New Roman" w:cs="Times New Roman"/>
          <w:sz w:val="24"/>
          <w:szCs w:val="24"/>
        </w:rPr>
        <w:t xml:space="preserve"> </w:t>
      </w:r>
      <w:r>
        <w:rPr>
          <w:rFonts w:ascii="Times New Roman" w:hAnsi="Times New Roman" w:cs="Times New Roman"/>
          <w:sz w:val="24"/>
          <w:szCs w:val="24"/>
        </w:rPr>
        <w:t>pada perusahaan sub sektor perbankan di Bursa Efek Indonesia periode 2015-2019 dapat dilihat pada tabel berikut ini :</w:t>
      </w:r>
    </w:p>
    <w:p>
      <w:pPr>
        <w:tabs>
          <w:tab w:val="left" w:pos="0"/>
          <w:tab w:val="left" w:pos="720"/>
          <w:tab w:val="left" w:pos="2865"/>
        </w:tabs>
        <w:ind w:firstLine="0"/>
        <w:rPr>
          <w:rFonts w:ascii="Times New Roman" w:hAnsi="Times New Roman" w:cs="Times New Roman"/>
          <w:sz w:val="24"/>
          <w:szCs w:val="24"/>
        </w:rPr>
      </w:pPr>
    </w:p>
    <w:p>
      <w:pPr>
        <w:ind w:firstLine="720"/>
        <w:rPr>
          <w:rFonts w:ascii="Times New Roman" w:hAnsi="Times New Roman" w:cs="Times New Roman"/>
          <w:sz w:val="24"/>
          <w:szCs w:val="24"/>
        </w:rPr>
      </w:pPr>
      <w:r>
        <w:rPr>
          <w:rFonts w:ascii="Times New Roman" w:hAnsi="Times New Roman" w:cs="Times New Roman"/>
          <w:sz w:val="24"/>
          <w:szCs w:val="24"/>
        </w:rPr>
        <w:drawing>
          <wp:inline distT="0" distB="0" distL="0" distR="0">
            <wp:extent cx="4238625" cy="3038475"/>
            <wp:effectExtent l="19050" t="0" r="9525" b="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Berdasarkan hasil perhitungan diatas maka dapat diketahui bahwa risiko bisnis pada</w:t>
      </w:r>
      <w:r>
        <w:rPr>
          <w:rFonts w:ascii="Times New Roman" w:hAnsi="Times New Roman" w:cs="Times New Roman"/>
          <w:i/>
          <w:sz w:val="24"/>
          <w:szCs w:val="24"/>
        </w:rPr>
        <w:t xml:space="preserve"> </w:t>
      </w:r>
      <w:r>
        <w:rPr>
          <w:rFonts w:ascii="Times New Roman" w:hAnsi="Times New Roman" w:cs="Times New Roman"/>
          <w:sz w:val="24"/>
          <w:szCs w:val="24"/>
        </w:rPr>
        <w:t xml:space="preserve">perusahaan sub sektor perbankan periode 2015-2019 mengalami fluktuasi. Penyebab terjadinya fluktuasi adalah karena penggunaan hutang oleh perusahaan untuk aktivitas operasional. Risiko bisnis dapat mempengaruhi kelangsungan hidup perusahaan, dimana perusahaan memiliki kemampuan untuk membayar hutangnya, perusahaan yang memiliki risiko bisnis yang lebih tinggi seringkali kurang mampu mengunakan utang dalam jumlah yang besar dalam pendanaan perusahaan karena untuk menghindari tidak terbayarnya hutang di masa depan </w:t>
      </w:r>
      <w:sdt>
        <w:sdtPr>
          <w:id w:val="-1799517230"/>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Okt19 \l 1033 </w:instrText>
          </w:r>
          <w:r>
            <w:rPr>
              <w:rFonts w:ascii="Times New Roman" w:hAnsi="Times New Roman" w:cs="Times New Roman"/>
              <w:sz w:val="24"/>
              <w:szCs w:val="24"/>
            </w:rPr>
            <w:fldChar w:fldCharType="separate"/>
          </w:r>
          <w:r>
            <w:rPr>
              <w:rFonts w:ascii="Times New Roman" w:hAnsi="Times New Roman" w:cs="Times New Roman"/>
              <w:sz w:val="24"/>
              <w:szCs w:val="24"/>
            </w:rPr>
            <w:t>(Oktafiani, 2019)</w:t>
          </w:r>
          <w:r>
            <w:rPr>
              <w:rFonts w:ascii="Times New Roman" w:hAnsi="Times New Roman" w:cs="Times New Roman"/>
              <w:sz w:val="24"/>
              <w:szCs w:val="24"/>
            </w:rPr>
            <w:fldChar w:fldCharType="end"/>
          </w:r>
        </w:sdtContent>
      </w:sdt>
      <w:r>
        <w:t xml:space="preserve">. </w:t>
      </w:r>
    </w:p>
    <w:p>
      <w:pPr>
        <w:tabs>
          <w:tab w:val="left" w:pos="90"/>
          <w:tab w:val="left" w:pos="720"/>
        </w:tabs>
        <w:ind w:firstLine="720"/>
        <w:rPr>
          <w:rFonts w:ascii="Times New Roman" w:hAnsi="Times New Roman" w:cs="Times New Roman"/>
          <w:sz w:val="24"/>
          <w:szCs w:val="24"/>
        </w:rPr>
      </w:pPr>
      <w:r>
        <w:rPr>
          <w:rFonts w:ascii="Times New Roman" w:hAnsi="Times New Roman" w:cs="Times New Roman"/>
          <w:sz w:val="24"/>
          <w:szCs w:val="24"/>
        </w:rPr>
        <w:t xml:space="preserve">Penggunaan hutang dalam pendanaan perusahaan akan meningkatkan kemampuan perusahaan dalam menghasilkan laba. Kenaikan atau penurunan laba akan tercermin pada harga saham, ketika laba akan menurun maka harga sahamnya juga cederung menurun. Dengan kondisi seperti ini, perusahaan sebaiknya menghindari penggunaan hutang, karena akan mempengaruhi kemampuan untuk menghasilkan laba lebih kecil sehingga nantinya akan mempengaruhi nilai perusahaan. </w:t>
      </w:r>
    </w:p>
    <w:p>
      <w:pPr>
        <w:ind w:firstLine="720"/>
        <w:rPr>
          <w:rStyle w:val="25"/>
          <w:rFonts w:ascii="Times New Roman" w:hAnsi="Times New Roman" w:cs="Times New Roman"/>
          <w:sz w:val="24"/>
          <w:szCs w:val="24"/>
        </w:rPr>
      </w:pPr>
      <w:r>
        <w:rPr>
          <w:rFonts w:ascii="Times New Roman" w:hAnsi="Times New Roman" w:cs="Times New Roman"/>
          <w:sz w:val="24"/>
          <w:szCs w:val="24"/>
        </w:rPr>
        <w:t xml:space="preserve">Pada tahun 2015, 2018 dan 2019, menunjukkan bahwa risiko pada sub sektor perbankan tergolong rendah. Rendahnya risiko menandakan bahwa menajemen perusahaan kurang mempertimbangkan risiko bisnis. Sebaliknya pada tahun 2016 dan 2017 terjadi peningkatan yang menyebabkan kondisi ketidakpastian karena perusahaan lebih banyak menggunakan hutang untuk menutupi biaya operasionalnya. </w:t>
      </w:r>
      <w:r>
        <w:rPr>
          <w:rStyle w:val="25"/>
          <w:rFonts w:ascii="Times New Roman" w:hAnsi="Times New Roman" w:cs="Times New Roman"/>
          <w:sz w:val="24"/>
          <w:szCs w:val="24"/>
        </w:rPr>
        <w:t xml:space="preserve">Jika </w:t>
      </w:r>
      <w:r>
        <w:rPr>
          <w:rStyle w:val="25"/>
          <w:rFonts w:ascii="Times New Roman" w:hAnsi="Times New Roman" w:cs="Times New Roman"/>
          <w:bCs/>
          <w:sz w:val="24"/>
          <w:szCs w:val="24"/>
        </w:rPr>
        <w:t>perusahaan</w:t>
      </w:r>
      <w:r>
        <w:rPr>
          <w:rStyle w:val="25"/>
          <w:rFonts w:ascii="Times New Roman" w:hAnsi="Times New Roman" w:cs="Times New Roman"/>
          <w:sz w:val="24"/>
          <w:szCs w:val="24"/>
        </w:rPr>
        <w:t xml:space="preserve"> memiliki </w:t>
      </w:r>
      <w:r>
        <w:rPr>
          <w:rStyle w:val="25"/>
          <w:rFonts w:ascii="Times New Roman" w:hAnsi="Times New Roman" w:cs="Times New Roman"/>
          <w:bCs/>
          <w:sz w:val="24"/>
          <w:szCs w:val="24"/>
        </w:rPr>
        <w:t>risiko</w:t>
      </w:r>
      <w:r>
        <w:rPr>
          <w:rStyle w:val="25"/>
          <w:rFonts w:ascii="Times New Roman" w:hAnsi="Times New Roman" w:cs="Times New Roman"/>
          <w:sz w:val="24"/>
          <w:szCs w:val="24"/>
        </w:rPr>
        <w:t xml:space="preserve"> bisnis yang </w:t>
      </w:r>
      <w:r>
        <w:rPr>
          <w:rStyle w:val="25"/>
          <w:rFonts w:ascii="Times New Roman" w:hAnsi="Times New Roman" w:cs="Times New Roman"/>
          <w:bCs/>
          <w:sz w:val="24"/>
          <w:szCs w:val="24"/>
        </w:rPr>
        <w:t>tinggi</w:t>
      </w:r>
      <w:r>
        <w:rPr>
          <w:rStyle w:val="25"/>
          <w:rFonts w:ascii="Times New Roman" w:hAnsi="Times New Roman" w:cs="Times New Roman"/>
          <w:sz w:val="24"/>
          <w:szCs w:val="24"/>
        </w:rPr>
        <w:t xml:space="preserve"> karena hutang maka </w:t>
      </w:r>
      <w:r>
        <w:rPr>
          <w:rStyle w:val="25"/>
          <w:rFonts w:ascii="Times New Roman" w:hAnsi="Times New Roman" w:cs="Times New Roman"/>
          <w:bCs/>
          <w:sz w:val="24"/>
          <w:szCs w:val="24"/>
        </w:rPr>
        <w:t>nilai perusahaan</w:t>
      </w:r>
      <w:r>
        <w:rPr>
          <w:rStyle w:val="25"/>
          <w:rFonts w:ascii="Times New Roman" w:hAnsi="Times New Roman" w:cs="Times New Roman"/>
          <w:sz w:val="24"/>
          <w:szCs w:val="24"/>
        </w:rPr>
        <w:t xml:space="preserve"> akan turun dimata investor sehingga risiko yang dihasilkan cenderung berfluktuasi yang berarti pendapatan tidak stabil. Artinya dengan adanya risiko bisnis yang tinggi, perusahaan tidak mengurangi hutang tetap tetap menggunakan hutang untuk memenuhi kebutuhan danannya. </w:t>
      </w:r>
    </w:p>
    <w:p>
      <w:pPr>
        <w:ind w:firstLine="720"/>
        <w:rPr>
          <w:rFonts w:ascii="Times New Roman" w:hAnsi="Times New Roman" w:cs="Times New Roman"/>
          <w:sz w:val="24"/>
          <w:szCs w:val="24"/>
        </w:rPr>
      </w:pPr>
      <w:r>
        <w:rPr>
          <w:rStyle w:val="25"/>
          <w:rFonts w:ascii="Times New Roman" w:hAnsi="Times New Roman" w:cs="Times New Roman"/>
          <w:sz w:val="24"/>
          <w:szCs w:val="24"/>
        </w:rPr>
        <w:t xml:space="preserve">Secara keseluruhan, semakin tinggi tingkat risiko maka semakin tinggi keuntungan yang diperoleh perusahaan. </w:t>
      </w:r>
      <w:r>
        <w:rPr>
          <w:rFonts w:ascii="Times New Roman" w:hAnsi="Times New Roman" w:cs="Times New Roman"/>
          <w:sz w:val="24"/>
          <w:szCs w:val="24"/>
        </w:rPr>
        <w:t>peningkatan risiko bisnis akan berdampak pada menurunnya nilai perusahaan yang tercermin dari menurunnya harga saham.</w:t>
      </w:r>
      <w:r>
        <w:rPr>
          <w:rFonts w:ascii="Times New Roman" w:hAnsi="Times New Roman" w:cs="Times New Roman"/>
          <w:b/>
          <w:sz w:val="24"/>
          <w:szCs w:val="24"/>
        </w:rPr>
        <w:t xml:space="preserve"> </w:t>
      </w:r>
      <w:r>
        <w:rPr>
          <w:rFonts w:ascii="Times New Roman" w:hAnsi="Times New Roman" w:cs="Times New Roman"/>
          <w:sz w:val="24"/>
          <w:szCs w:val="24"/>
        </w:rPr>
        <w:t xml:space="preserve">Hal ini sesuai dengan pernytaan yang dikemukakan oleh ( Arfan, 2018), antara risiko bisnis dan </w:t>
      </w:r>
      <w:r>
        <w:rPr>
          <w:rFonts w:ascii="Times New Roman" w:hAnsi="Times New Roman" w:cs="Times New Roman"/>
          <w:i/>
          <w:sz w:val="24"/>
          <w:szCs w:val="24"/>
        </w:rPr>
        <w:t>return</w:t>
      </w:r>
      <w:r>
        <w:rPr>
          <w:rFonts w:ascii="Times New Roman" w:hAnsi="Times New Roman" w:cs="Times New Roman"/>
          <w:sz w:val="24"/>
          <w:szCs w:val="24"/>
        </w:rPr>
        <w:t xml:space="preserve"> atau keuntungan bersifat searah, dimana semakin besar keinginan untuk memperoleh keuntungan akan diikuti oleh risiko yang besar pula. </w:t>
      </w:r>
    </w:p>
    <w:p>
      <w:pPr>
        <w:rPr>
          <w:rFonts w:ascii="Times New Roman" w:hAnsi="Times New Roman" w:cs="Times New Roman"/>
          <w:sz w:val="24"/>
          <w:szCs w:val="24"/>
        </w:rPr>
      </w:pPr>
      <w:r>
        <w:rPr>
          <w:rFonts w:ascii="Times New Roman" w:hAnsi="Times New Roman" w:cs="Times New Roman"/>
          <w:sz w:val="24"/>
          <w:szCs w:val="24"/>
        </w:rPr>
        <w:br w:type="page"/>
      </w:r>
    </w:p>
    <w:p>
      <w:pPr>
        <w:pStyle w:val="23"/>
        <w:numPr>
          <w:ilvl w:val="2"/>
          <w:numId w:val="63"/>
        </w:numPr>
        <w:rPr>
          <w:rFonts w:ascii="Times New Roman" w:hAnsi="Times New Roman" w:cs="Times New Roman"/>
          <w:b/>
          <w:sz w:val="24"/>
          <w:szCs w:val="24"/>
        </w:rPr>
      </w:pPr>
      <w:r>
        <w:rPr>
          <w:rFonts w:ascii="Times New Roman" w:hAnsi="Times New Roman" w:cs="Times New Roman"/>
          <w:b/>
          <w:sz w:val="24"/>
          <w:szCs w:val="24"/>
        </w:rPr>
        <w:t>Nilai Perusahaan (Y)</w:t>
      </w:r>
    </w:p>
    <w:p>
      <w:pPr>
        <w:ind w:firstLine="720"/>
        <w:rPr>
          <w:rFonts w:ascii="Times New Roman" w:hAnsi="Times New Roman" w:cs="Times New Roman"/>
          <w:sz w:val="24"/>
          <w:szCs w:val="24"/>
        </w:rPr>
      </w:pPr>
      <w:r>
        <w:rPr>
          <w:rFonts w:ascii="Times New Roman" w:hAnsi="Times New Roman" w:cs="Times New Roman"/>
          <w:sz w:val="24"/>
          <w:szCs w:val="24"/>
        </w:rPr>
        <w:t xml:space="preserve">Menurut (Selin, 2018) </w:t>
      </w:r>
      <w:r>
        <w:rPr>
          <w:rFonts w:ascii="Times New Roman" w:hAnsi="Times New Roman" w:cs="Times New Roman"/>
          <w:i/>
          <w:sz w:val="24"/>
          <w:szCs w:val="24"/>
        </w:rPr>
        <w:t>Price book value</w:t>
      </w:r>
      <w:r>
        <w:rPr>
          <w:rFonts w:ascii="Times New Roman" w:hAnsi="Times New Roman" w:cs="Times New Roman"/>
          <w:sz w:val="24"/>
          <w:szCs w:val="24"/>
        </w:rPr>
        <w:t xml:space="preserve"> (PBV) merupakan nilai yang dapat digunakan untuk membandingkan suatu saham lebih mahal atau lebih murah dari saham lain. Nilai buku (PBV) menunjukkan kemampuan perusahaan untuk menciptakan nilai relatif terhadap jumlah modal yang diinvestasikan (Fitri Dwi Jayanti,2018). Nilai perusahaan dapat diperoleh dengan cara:</w:t>
      </w:r>
    </w:p>
    <w:p>
      <w:pPr>
        <w:ind w:firstLine="720"/>
        <w:rPr>
          <w:rFonts w:ascii="Times New Roman" w:hAnsi="Times New Roman" w:cs="Times New Roman"/>
          <w:sz w:val="24"/>
          <w:szCs w:val="24"/>
        </w:rPr>
      </w:pPr>
      <w:r>
        <w:rPr>
          <w:rFonts w:ascii="Times New Roman" w:hAnsi="Times New Roman" w:cs="Times New Roman" w:eastAsiaTheme="minorEastAsia"/>
          <w:sz w:val="24"/>
          <w:szCs w:val="24"/>
          <w:lang w:eastAsia="zh-TW"/>
        </w:rPr>
        <w:pict>
          <v:shape id="_x0000_s1153" o:spid="_x0000_s1153" o:spt="202" type="#_x0000_t202" style="position:absolute;left:0pt;margin-left:110.95pt;margin-top:6.95pt;height:48.15pt;width:194.65pt;z-index:251699200;mso-width-relative:margin;mso-height-relative:margin;" coordsize="21600,21600">
            <v:path/>
            <v:fill focussize="0,0"/>
            <v:stroke joinstyle="miter"/>
            <v:imagedata o:title=""/>
            <o:lock v:ext="edit"/>
            <v:textbox>
              <w:txbxContent>
                <w:p>
                  <w:pPr>
                    <w:tabs>
                      <w:tab w:val="left" w:pos="720"/>
                    </w:tabs>
                    <w:spacing w:before="240"/>
                    <w:ind w:firstLine="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PBV RATIO = </w:t>
                  </w:r>
                  <m:oMath>
                    <m:f>
                      <m:fPr>
                        <m:ctrlPr>
                          <w:rPr>
                            <w:rFonts w:ascii="Cambria Math" w:hAnsi="Times New Roman" w:cs="Times New Roman"/>
                            <w:sz w:val="24"/>
                            <w:szCs w:val="24"/>
                          </w:rPr>
                        </m:ctrlPr>
                      </m:fPr>
                      <m:num>
                        <m:r>
                          <m:rPr>
                            <m:sty m:val="p"/>
                          </m:rPr>
                          <w:rPr>
                            <w:rFonts w:ascii="Cambria Math" w:hAnsi="Times New Roman" w:cs="Times New Roman"/>
                            <w:sz w:val="24"/>
                            <w:szCs w:val="24"/>
                          </w:rPr>
                          <m:t>HARGA PASAR SAHAM</m:t>
                        </m:r>
                        <m:ctrlPr>
                          <w:rPr>
                            <w:rFonts w:ascii="Cambria Math" w:hAnsi="Times New Roman" w:cs="Times New Roman"/>
                            <w:sz w:val="24"/>
                            <w:szCs w:val="24"/>
                          </w:rPr>
                        </m:ctrlPr>
                      </m:num>
                      <m:den>
                        <m:r>
                          <m:rPr>
                            <m:sty m:val="p"/>
                          </m:rPr>
                          <w:rPr>
                            <w:rFonts w:ascii="Cambria Math" w:hAnsi="Times New Roman" w:cs="Times New Roman"/>
                            <w:sz w:val="24"/>
                            <w:szCs w:val="24"/>
                          </w:rPr>
                          <m:t xml:space="preserve">NILAI BUKU SAHAM </m:t>
                        </m:r>
                        <m:ctrlPr>
                          <w:rPr>
                            <w:rFonts w:ascii="Cambria Math" w:hAnsi="Times New Roman" w:cs="Times New Roman"/>
                            <w:sz w:val="24"/>
                            <w:szCs w:val="24"/>
                          </w:rPr>
                        </m:ctrlPr>
                      </m:den>
                    </m:f>
                  </m:oMath>
                </w:p>
                <w:p/>
                <w:p/>
              </w:txbxContent>
            </v:textbox>
          </v:shape>
        </w:pict>
      </w:r>
    </w:p>
    <w:p>
      <w:pPr>
        <w:ind w:firstLine="0"/>
        <w:rPr>
          <w:rFonts w:ascii="Times New Roman" w:hAnsi="Times New Roman" w:cs="Times New Roman"/>
          <w:sz w:val="24"/>
          <w:szCs w:val="24"/>
        </w:rPr>
      </w:pPr>
    </w:p>
    <w:p>
      <w:pPr>
        <w:ind w:firstLine="0"/>
        <w:rPr>
          <w:rFonts w:ascii="Times New Roman" w:hAnsi="Times New Roman" w:cs="Times New Roman"/>
          <w:sz w:val="24"/>
          <w:szCs w:val="24"/>
        </w:rPr>
      </w:pPr>
    </w:p>
    <w:p>
      <w:pPr>
        <w:ind w:firstLine="720"/>
        <w:rPr>
          <w:rFonts w:ascii="Times New Roman" w:hAnsi="Times New Roman" w:cs="Times New Roman"/>
          <w:sz w:val="24"/>
          <w:szCs w:val="24"/>
        </w:rPr>
      </w:pPr>
      <w:r>
        <w:rPr>
          <w:rStyle w:val="25"/>
          <w:rFonts w:ascii="Times New Roman" w:hAnsi="Times New Roman" w:cs="Times New Roman"/>
          <w:sz w:val="24"/>
          <w:szCs w:val="24"/>
        </w:rPr>
        <w:t xml:space="preserve">Dari persamaan di atas maka nilai </w:t>
      </w:r>
      <w:r>
        <w:rPr>
          <w:rFonts w:ascii="Times New Roman" w:hAnsi="Times New Roman" w:cs="Times New Roman"/>
          <w:i/>
          <w:sz w:val="24"/>
          <w:szCs w:val="24"/>
        </w:rPr>
        <w:t xml:space="preserve">Price book value (PBV) </w:t>
      </w:r>
      <w:r>
        <w:rPr>
          <w:rFonts w:ascii="Times New Roman" w:hAnsi="Times New Roman" w:cs="Times New Roman"/>
          <w:sz w:val="24"/>
          <w:szCs w:val="24"/>
        </w:rPr>
        <w:t>pada perusahaan sub sektor perbankan di Bursa Efek Indonesia periode 2015-2019 dapat dilihat pada tabel berikut ini :</w:t>
      </w:r>
    </w:p>
    <w:p>
      <w:pPr>
        <w:ind w:firstLine="720"/>
        <w:jc w:val="left"/>
        <w:rPr>
          <w:rFonts w:ascii="Times New Roman" w:hAnsi="Times New Roman" w:cs="Times New Roman"/>
          <w:sz w:val="24"/>
          <w:szCs w:val="24"/>
        </w:rPr>
      </w:pPr>
      <w:r>
        <w:rPr>
          <w:rFonts w:ascii="Times New Roman" w:hAnsi="Times New Roman" w:cs="Times New Roman"/>
          <w:sz w:val="24"/>
          <w:szCs w:val="24"/>
        </w:rPr>
        <w:drawing>
          <wp:inline distT="0" distB="0" distL="0" distR="0">
            <wp:extent cx="4495800" cy="3038475"/>
            <wp:effectExtent l="19050" t="0" r="19050" b="0"/>
            <wp:docPr id="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ind w:firstLine="720"/>
        <w:rPr>
          <w:rFonts w:ascii="Times New Roman" w:hAnsi="Times New Roman" w:cs="Times New Roman"/>
          <w:sz w:val="24"/>
          <w:szCs w:val="24"/>
        </w:rPr>
      </w:pPr>
      <w:r>
        <w:rPr>
          <w:rFonts w:ascii="Times New Roman" w:hAnsi="Times New Roman" w:cs="Times New Roman"/>
          <w:sz w:val="24"/>
          <w:szCs w:val="24"/>
        </w:rPr>
        <w:t>Berdasarkan hasil perhitungan diatas maka dapat diketahui bahwa nilai perusahaan pada</w:t>
      </w:r>
      <w:r>
        <w:rPr>
          <w:rFonts w:ascii="Times New Roman" w:hAnsi="Times New Roman" w:cs="Times New Roman"/>
          <w:i/>
          <w:sz w:val="24"/>
          <w:szCs w:val="24"/>
        </w:rPr>
        <w:t xml:space="preserve"> </w:t>
      </w:r>
      <w:r>
        <w:rPr>
          <w:rFonts w:ascii="Times New Roman" w:hAnsi="Times New Roman" w:cs="Times New Roman"/>
          <w:sz w:val="24"/>
          <w:szCs w:val="24"/>
        </w:rPr>
        <w:t>perusahaan sub sektor perbankan periode 2015-2019 mengalami fluktuasi yang disebabkan oleh harga pasar saham yang mengalami fluktuasi. Peningkatan</w:t>
      </w:r>
      <w:r>
        <w:rPr>
          <w:rFonts w:ascii="Times New Roman" w:hAnsi="Times New Roman" w:cs="Times New Roman"/>
          <w:i/>
          <w:sz w:val="24"/>
          <w:szCs w:val="24"/>
        </w:rPr>
        <w:t xml:space="preserve"> </w:t>
      </w:r>
      <w:r>
        <w:rPr>
          <w:rFonts w:ascii="Times New Roman" w:hAnsi="Times New Roman" w:cs="Times New Roman"/>
          <w:sz w:val="24"/>
          <w:szCs w:val="24"/>
        </w:rPr>
        <w:t>yang</w:t>
      </w:r>
      <w:r>
        <w:rPr>
          <w:rFonts w:ascii="Times New Roman" w:hAnsi="Times New Roman" w:cs="Times New Roman"/>
          <w:i/>
          <w:sz w:val="24"/>
          <w:szCs w:val="24"/>
        </w:rPr>
        <w:t xml:space="preserve"> </w:t>
      </w:r>
      <w:r>
        <w:rPr>
          <w:rFonts w:ascii="Times New Roman" w:hAnsi="Times New Roman" w:cs="Times New Roman"/>
          <w:sz w:val="24"/>
          <w:szCs w:val="24"/>
        </w:rPr>
        <w:t>terjadi pada tahun 2015, 2016, 2017, dan 2019 merupakan hasil kontribusi nilai buku saham untuk mencipkan harga pasar saham yang optimal.</w:t>
      </w:r>
    </w:p>
    <w:p>
      <w:pPr>
        <w:ind w:firstLine="720"/>
        <w:rPr>
          <w:rFonts w:ascii="Times New Roman" w:hAnsi="Times New Roman" w:cs="Times New Roman"/>
          <w:sz w:val="24"/>
          <w:szCs w:val="24"/>
        </w:rPr>
      </w:pPr>
      <w:r>
        <w:rPr>
          <w:rFonts w:ascii="Times New Roman" w:hAnsi="Times New Roman" w:cs="Times New Roman"/>
          <w:sz w:val="24"/>
          <w:szCs w:val="24"/>
        </w:rPr>
        <w:t xml:space="preserve">Secara keseluruhan rata-rata </w:t>
      </w:r>
      <w:r>
        <w:rPr>
          <w:rFonts w:ascii="Times New Roman" w:hAnsi="Times New Roman" w:cs="Times New Roman"/>
          <w:i/>
          <w:sz w:val="24"/>
          <w:szCs w:val="24"/>
        </w:rPr>
        <w:t xml:space="preserve">Price book value (PBV) </w:t>
      </w:r>
      <w:r>
        <w:rPr>
          <w:rFonts w:ascii="Times New Roman" w:hAnsi="Times New Roman" w:cs="Times New Roman"/>
          <w:sz w:val="24"/>
          <w:szCs w:val="24"/>
        </w:rPr>
        <w:t xml:space="preserve">dari tahun 2015-2019 yaitu sebesar </w:t>
      </w:r>
      <w:r>
        <w:rPr>
          <w:rFonts w:ascii="Times New Roman" w:hAnsi="Times New Roman" w:eastAsia="Times New Roman" w:cs="Times New Roman"/>
          <w:color w:val="000000"/>
          <w:sz w:val="24"/>
          <w:szCs w:val="24"/>
        </w:rPr>
        <w:t xml:space="preserve">1.61% berada pada posisi diatas rata-rata standar yang ditetapkan, berarti </w:t>
      </w:r>
      <w:r>
        <w:rPr>
          <w:rFonts w:ascii="Times New Roman" w:hAnsi="Times New Roman" w:cs="Times New Roman"/>
          <w:sz w:val="24"/>
          <w:szCs w:val="24"/>
        </w:rPr>
        <w:t xml:space="preserve">semakin besar nilai rasio </w:t>
      </w:r>
      <w:r>
        <w:rPr>
          <w:rFonts w:ascii="Times New Roman" w:hAnsi="Times New Roman" w:cs="Times New Roman"/>
          <w:i/>
          <w:sz w:val="24"/>
          <w:szCs w:val="24"/>
        </w:rPr>
        <w:t>Price Book Value</w:t>
      </w:r>
      <w:r>
        <w:rPr>
          <w:rFonts w:ascii="Times New Roman" w:hAnsi="Times New Roman" w:cs="Times New Roman"/>
          <w:sz w:val="24"/>
          <w:szCs w:val="24"/>
        </w:rPr>
        <w:t>, maka saham pada sub sektor perbankan tersebut akan semakin menarik bagi investor, sehingga untuk berinvestasi dan membuat para investor atau calon investor tertarik untuk menanamkan dananya ke dalam perusahaan, karena investor yang rasional akan memilih emiten yang mempunyai PBV yang tinggi.</w:t>
      </w:r>
    </w:p>
    <w:p>
      <w:pPr>
        <w:ind w:firstLine="0"/>
        <w:rPr>
          <w:rFonts w:ascii="Times New Roman" w:hAnsi="Times New Roman" w:cs="Times New Roman"/>
          <w:b/>
          <w:sz w:val="24"/>
          <w:szCs w:val="24"/>
        </w:rPr>
      </w:pPr>
      <w:r>
        <w:rPr>
          <w:rFonts w:ascii="Times New Roman" w:hAnsi="Times New Roman" w:cs="Times New Roman"/>
          <w:b/>
          <w:sz w:val="24"/>
          <w:szCs w:val="24"/>
        </w:rPr>
        <w:t>4.3 Hasil Uji Instrumen Penelitian</w:t>
      </w:r>
    </w:p>
    <w:p>
      <w:pPr>
        <w:ind w:firstLine="0"/>
        <w:rPr>
          <w:rFonts w:ascii="Times New Roman" w:hAnsi="Times New Roman" w:cs="Times New Roman"/>
          <w:sz w:val="24"/>
          <w:szCs w:val="24"/>
        </w:rPr>
      </w:pPr>
      <w:r>
        <w:rPr>
          <w:rFonts w:ascii="Times New Roman" w:hAnsi="Times New Roman" w:cs="Times New Roman"/>
          <w:b/>
          <w:sz w:val="24"/>
          <w:szCs w:val="24"/>
        </w:rPr>
        <w:t>4.3.1 Hasil Uji Statistik Deskriptif</w:t>
      </w:r>
    </w:p>
    <w:p>
      <w:pPr>
        <w:tabs>
          <w:tab w:val="left" w:pos="0"/>
          <w:tab w:val="left" w:pos="2865"/>
        </w:tabs>
        <w:ind w:firstLine="720"/>
        <w:rPr>
          <w:rFonts w:ascii="Times New Roman" w:hAnsi="Times New Roman" w:cs="Times New Roman"/>
          <w:b/>
          <w:i/>
          <w:sz w:val="24"/>
          <w:szCs w:val="24"/>
        </w:rPr>
      </w:pPr>
      <w:r>
        <w:rPr>
          <w:rFonts w:ascii="Times New Roman" w:hAnsi="Times New Roman" w:cs="Times New Roman"/>
          <w:sz w:val="24"/>
          <w:szCs w:val="24"/>
        </w:rPr>
        <w:t xml:space="preserve">Statistik </w:t>
      </w:r>
      <w:r>
        <w:rPr>
          <w:rFonts w:ascii="Times New Roman" w:hAnsi="Times New Roman" w:cs="Times New Roman"/>
          <w:i/>
          <w:sz w:val="24"/>
          <w:szCs w:val="24"/>
        </w:rPr>
        <w:t xml:space="preserve">deskriptif </w:t>
      </w:r>
      <w:r>
        <w:rPr>
          <w:rFonts w:ascii="Times New Roman" w:hAnsi="Times New Roman" w:cs="Times New Roman"/>
          <w:sz w:val="24"/>
          <w:szCs w:val="24"/>
        </w:rPr>
        <w:t xml:space="preserve">dapat memberikan gambaran tentang suatu data yang dilihat dari nilai minimum, makimum, rata-rata (mean) dan standar deviasi yang dihasilkan dari variabel penelitian. Variabel-variabel yang digunakan dalam penelitian ini adalah </w:t>
      </w:r>
      <w:r>
        <w:rPr>
          <w:rFonts w:ascii="Times New Roman" w:hAnsi="Times New Roman" w:cs="Times New Roman"/>
          <w:i/>
          <w:sz w:val="24"/>
          <w:szCs w:val="24"/>
        </w:rPr>
        <w:t>investment opportunity set</w:t>
      </w:r>
      <w:r>
        <w:rPr>
          <w:rFonts w:ascii="Times New Roman" w:hAnsi="Times New Roman" w:cs="Times New Roman"/>
          <w:sz w:val="24"/>
          <w:szCs w:val="24"/>
        </w:rPr>
        <w:t xml:space="preserve"> (IOS) yang terdiri dari </w:t>
      </w:r>
      <w:r>
        <w:rPr>
          <w:rFonts w:ascii="Times New Roman" w:hAnsi="Times New Roman" w:cs="Times New Roman"/>
          <w:i/>
          <w:sz w:val="24"/>
          <w:szCs w:val="24"/>
        </w:rPr>
        <w:t xml:space="preserve">market </w:t>
      </w:r>
      <w:r>
        <w:rPr>
          <w:rStyle w:val="25"/>
          <w:rFonts w:ascii="Times New Roman" w:hAnsi="Times New Roman" w:cs="Times New Roman"/>
          <w:i/>
          <w:sz w:val="24"/>
          <w:szCs w:val="24"/>
        </w:rPr>
        <w:t>value of equity (MBVE),</w:t>
      </w:r>
      <w:r>
        <w:rPr>
          <w:rStyle w:val="18"/>
          <w:rFonts w:eastAsiaTheme="minorHAnsi"/>
          <w:sz w:val="24"/>
          <w:szCs w:val="24"/>
        </w:rPr>
        <w:t xml:space="preserve">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 </w:t>
      </w:r>
      <w:r>
        <w:rPr>
          <w:rStyle w:val="25"/>
          <w:rFonts w:ascii="Times New Roman" w:hAnsi="Times New Roman" w:cs="Times New Roman"/>
          <w:i/>
          <w:sz w:val="24"/>
          <w:szCs w:val="24"/>
        </w:rPr>
        <w:t xml:space="preserve">Corporate Social Responbility </w:t>
      </w:r>
      <w:r>
        <w:rPr>
          <w:rFonts w:ascii="Times New Roman" w:hAnsi="Times New Roman" w:cs="Times New Roman"/>
          <w:sz w:val="24"/>
          <w:szCs w:val="24"/>
        </w:rPr>
        <w:t xml:space="preserve">(CSR), dan risiko bisnis sebagai variabel independen, serta nilai perusahaan sebagai variabel dependen. Variabel-variabel tersebut akan diuji secara statistik </w:t>
      </w:r>
      <w:r>
        <w:rPr>
          <w:rFonts w:ascii="Times New Roman" w:hAnsi="Times New Roman" w:cs="Times New Roman"/>
          <w:i/>
          <w:sz w:val="24"/>
          <w:szCs w:val="24"/>
        </w:rPr>
        <w:t>deskriptif</w:t>
      </w:r>
      <w:r>
        <w:rPr>
          <w:rFonts w:ascii="Times New Roman" w:hAnsi="Times New Roman" w:cs="Times New Roman"/>
          <w:sz w:val="24"/>
          <w:szCs w:val="24"/>
        </w:rPr>
        <w:t xml:space="preserve"> dengan menggunakan program SPSS seperti yang terlihat dalam tabel 4.1 dibawah ini:</w:t>
      </w:r>
    </w:p>
    <w:p>
      <w:pPr>
        <w:tabs>
          <w:tab w:val="left" w:pos="0"/>
          <w:tab w:val="left" w:pos="2865"/>
        </w:tabs>
        <w:ind w:firstLine="0"/>
        <w:jc w:val="center"/>
        <w:rPr>
          <w:rFonts w:ascii="Times New Roman" w:hAnsi="Times New Roman" w:cs="Times New Roman"/>
          <w:b/>
          <w:sz w:val="24"/>
          <w:szCs w:val="24"/>
        </w:rPr>
      </w:pPr>
      <w:r>
        <w:rPr>
          <w:rFonts w:ascii="Times New Roman" w:hAnsi="Times New Roman" w:cs="Times New Roman"/>
          <w:b/>
          <w:sz w:val="24"/>
          <w:szCs w:val="24"/>
        </w:rPr>
        <w:t>TABEL 4.1</w:t>
      </w:r>
    </w:p>
    <w:p>
      <w:pPr>
        <w:tabs>
          <w:tab w:val="left" w:pos="0"/>
          <w:tab w:val="left" w:pos="2865"/>
        </w:tabs>
        <w:ind w:firstLine="0"/>
        <w:jc w:val="center"/>
        <w:rPr>
          <w:rFonts w:ascii="Times New Roman" w:hAnsi="Times New Roman" w:cs="Times New Roman"/>
          <w:b/>
          <w:sz w:val="24"/>
          <w:szCs w:val="24"/>
        </w:rPr>
      </w:pPr>
      <w:r>
        <w:rPr>
          <w:rFonts w:ascii="Times New Roman" w:hAnsi="Times New Roman" w:cs="Times New Roman"/>
          <w:b/>
          <w:sz w:val="24"/>
          <w:szCs w:val="24"/>
        </w:rPr>
        <w:t>Hasil Uji Statistik Deskriptif</w:t>
      </w:r>
    </w:p>
    <w:tbl>
      <w:tblPr>
        <w:tblStyle w:val="6"/>
        <w:tblW w:w="7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0"/>
        <w:gridCol w:w="714"/>
        <w:gridCol w:w="1144"/>
        <w:gridCol w:w="1138"/>
        <w:gridCol w:w="825"/>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7120" w:type="dxa"/>
            <w:gridSpan w:val="6"/>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60" w:firstLine="0"/>
              <w:jc w:val="center"/>
              <w:rPr>
                <w:rFonts w:hint="eastAsia" w:ascii="Times New Roman" w:hAnsi="Times New Roman" w:cs="Times New Roman"/>
                <w:color w:val="010205"/>
                <w:sz w:val="24"/>
                <w:szCs w:val="24"/>
              </w:rPr>
            </w:pPr>
            <w:r>
              <w:rPr>
                <w:rFonts w:hint="eastAsia" w:ascii="Times New Roman" w:hAnsi="Times New Roman" w:cs="Times New Roman"/>
                <w:b/>
                <w:bCs/>
                <w:color w:val="010205"/>
                <w:sz w:val="24"/>
                <w:szCs w:val="24"/>
              </w:rPr>
              <w:t>Descriptive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jc w:val="center"/>
        </w:trPr>
        <w:tc>
          <w:tcPr>
            <w:tcW w:w="180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71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N</w:t>
            </w:r>
          </w:p>
        </w:tc>
        <w:tc>
          <w:tcPr>
            <w:tcW w:w="114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Minimum</w:t>
            </w:r>
          </w:p>
        </w:tc>
        <w:tc>
          <w:tcPr>
            <w:tcW w:w="1138"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Maximum</w:t>
            </w:r>
          </w:p>
        </w:tc>
        <w:tc>
          <w:tcPr>
            <w:tcW w:w="82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Mean</w:t>
            </w:r>
          </w:p>
        </w:tc>
        <w:tc>
          <w:tcPr>
            <w:tcW w:w="149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Std. Deviation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MBVE</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-.53</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12.91</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6.4788</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2.19945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CAPBVA</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-10.05</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4.44</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-4.5660</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3.34954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CSR</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-2.75</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13.84</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-.7929</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RISIKO BISNIS</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-7.31</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4.89</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-3.1005</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2.70686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NILAI PERUSAHAAN</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-1.66</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1.70</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.2655</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.67168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9" w:hRule="atLeast"/>
          <w:jc w:val="center"/>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Valid N (listwise)</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1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82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499"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r>
    </w:tbl>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Sumber : Data Sekunder Spps 26</w:t>
      </w:r>
    </w:p>
    <w:p>
      <w:pPr>
        <w:ind w:firstLine="720"/>
        <w:rPr>
          <w:rFonts w:ascii="Times New Roman" w:hAnsi="Times New Roman" w:eastAsia="Times New Roman" w:cs="Times New Roman"/>
          <w:sz w:val="24"/>
          <w:szCs w:val="24"/>
        </w:rPr>
      </w:pPr>
      <w:r>
        <w:rPr>
          <w:rFonts w:ascii="Times New Roman" w:hAnsi="Times New Roman" w:eastAsia="Times New Roman" w:cs="Times New Roman"/>
          <w:i/>
          <w:sz w:val="24"/>
          <w:szCs w:val="24"/>
        </w:rPr>
        <w:t>Market to book value of equity</w:t>
      </w:r>
      <w:r>
        <w:rPr>
          <w:rFonts w:ascii="Times New Roman" w:hAnsi="Times New Roman" w:eastAsia="Times New Roman" w:cs="Times New Roman"/>
          <w:sz w:val="24"/>
          <w:szCs w:val="24"/>
        </w:rPr>
        <w:t xml:space="preserve"> (MBVE) mempunyai 195 sampel dengan nilai minimum sebesar -0.53 dengan nilai maksimum </w:t>
      </w:r>
      <w:r>
        <w:rPr>
          <w:rFonts w:ascii="Times New Roman" w:hAnsi="Times New Roman" w:cs="Times New Roman"/>
          <w:color w:val="010205"/>
          <w:sz w:val="24"/>
          <w:szCs w:val="24"/>
        </w:rPr>
        <w:t>12.91 serta standar deviasi 2.19945 dan nilai mean 6.4788 pada perusahaan sub sektor perbankan dari tahun 2015-2019</w:t>
      </w:r>
    </w:p>
    <w:p>
      <w:pPr>
        <w:ind w:firstLine="720"/>
        <w:rPr>
          <w:rFonts w:ascii="Times New Roman" w:hAnsi="Times New Roman" w:cs="Times New Roman"/>
          <w:sz w:val="24"/>
          <w:szCs w:val="24"/>
        </w:rPr>
      </w:pPr>
      <w:r>
        <w:rPr>
          <w:rFonts w:ascii="Times New Roman" w:hAnsi="Times New Roman" w:cs="Times New Roman"/>
          <w:i/>
          <w:sz w:val="24"/>
          <w:szCs w:val="24"/>
        </w:rPr>
        <w:t>Capital expenditure to book value assets</w:t>
      </w:r>
      <w:r>
        <w:rPr>
          <w:rFonts w:ascii="Times New Roman" w:hAnsi="Times New Roman" w:cs="Times New Roman"/>
          <w:sz w:val="24"/>
          <w:szCs w:val="24"/>
        </w:rPr>
        <w:t xml:space="preserve"> mempunyai </w:t>
      </w:r>
      <w:r>
        <w:rPr>
          <w:rFonts w:ascii="Times New Roman" w:hAnsi="Times New Roman" w:eastAsia="Times New Roman" w:cs="Times New Roman"/>
          <w:sz w:val="24"/>
          <w:szCs w:val="24"/>
        </w:rPr>
        <w:t>195 sampel dengan</w:t>
      </w:r>
      <w:r>
        <w:rPr>
          <w:rFonts w:ascii="Times New Roman" w:hAnsi="Times New Roman" w:cs="Times New Roman"/>
          <w:sz w:val="24"/>
          <w:szCs w:val="24"/>
        </w:rPr>
        <w:t xml:space="preserve"> nilai minimum sebesar </w:t>
      </w:r>
      <w:r>
        <w:rPr>
          <w:rFonts w:ascii="Times New Roman" w:hAnsi="Times New Roman" w:cs="Times New Roman"/>
          <w:color w:val="010205"/>
          <w:sz w:val="24"/>
          <w:szCs w:val="24"/>
        </w:rPr>
        <w:t>-10.05 dan nilai maksimum 4.44 serta nilai standar deviasi 3.34954 dan nilai mean -4.5660 pada perusahaan sub sektor perbankan dari tahun 2015-2019</w:t>
      </w:r>
    </w:p>
    <w:p>
      <w:pPr>
        <w:ind w:firstLine="720"/>
        <w:rPr>
          <w:rFonts w:ascii="Times New Roman" w:hAnsi="Times New Roman" w:cs="Times New Roman"/>
          <w:color w:val="010205"/>
          <w:sz w:val="24"/>
          <w:szCs w:val="24"/>
        </w:rPr>
      </w:pPr>
      <w:r>
        <w:rPr>
          <w:rStyle w:val="25"/>
          <w:rFonts w:ascii="Times New Roman" w:hAnsi="Times New Roman" w:cs="Times New Roman"/>
          <w:i/>
          <w:sz w:val="24"/>
          <w:szCs w:val="24"/>
        </w:rPr>
        <w:t xml:space="preserve">Corporate Social Responbility </w:t>
      </w:r>
      <w:r>
        <w:rPr>
          <w:rFonts w:ascii="Times New Roman" w:hAnsi="Times New Roman" w:cs="Times New Roman"/>
          <w:sz w:val="24"/>
          <w:szCs w:val="24"/>
        </w:rPr>
        <w:t xml:space="preserve">(CSR) mempunyai 195 sampel dengan nilai minimum sebesar </w:t>
      </w:r>
      <w:r>
        <w:rPr>
          <w:rFonts w:ascii="Times New Roman" w:hAnsi="Times New Roman" w:cs="Times New Roman"/>
          <w:color w:val="010205"/>
          <w:sz w:val="24"/>
          <w:szCs w:val="24"/>
        </w:rPr>
        <w:t>-2.75 dengan nilai maksimum 13.84 serta standar deviasi 2.46796 dan nilai mean -0.7929 yang diukur menggunakan CSRDI pada perusahaan sub sektor perbankan dari tahun 2015-2019.</w:t>
      </w:r>
    </w:p>
    <w:p>
      <w:pPr>
        <w:ind w:firstLine="720"/>
        <w:rPr>
          <w:rFonts w:ascii="Times New Roman" w:hAnsi="Times New Roman" w:cs="Times New Roman"/>
          <w:color w:val="010205"/>
          <w:sz w:val="24"/>
          <w:szCs w:val="24"/>
        </w:rPr>
      </w:pPr>
      <w:r>
        <w:rPr>
          <w:rFonts w:ascii="Times New Roman" w:hAnsi="Times New Roman" w:cs="Times New Roman"/>
          <w:sz w:val="24"/>
          <w:szCs w:val="24"/>
        </w:rPr>
        <w:t xml:space="preserve">Risiko Bisnis mempunyai 195 sampel dengan nilai minimum sebesar </w:t>
      </w:r>
      <w:r>
        <w:rPr>
          <w:rFonts w:ascii="Times New Roman" w:hAnsi="Times New Roman" w:cs="Times New Roman"/>
          <w:color w:val="010205"/>
          <w:sz w:val="24"/>
          <w:szCs w:val="24"/>
        </w:rPr>
        <w:t>-7.31 dengan nilai maksimum 4.89 serta standar deviasi 2.70686 dan nilai mean -3.1005 yang diukur menggunakan BRISK pada perusahaan sub sektor perbankan dari tahun 2015-2019</w:t>
      </w:r>
    </w:p>
    <w:p>
      <w:pPr>
        <w:ind w:firstLine="720"/>
        <w:rPr>
          <w:rFonts w:ascii="Times New Roman" w:hAnsi="Times New Roman" w:cs="Times New Roman"/>
          <w:color w:val="010205"/>
          <w:sz w:val="24"/>
          <w:szCs w:val="24"/>
        </w:rPr>
      </w:pPr>
      <w:r>
        <w:rPr>
          <w:rFonts w:ascii="Times New Roman" w:hAnsi="Times New Roman" w:cs="Times New Roman"/>
          <w:sz w:val="24"/>
          <w:szCs w:val="24"/>
        </w:rPr>
        <w:t xml:space="preserve">Nilai Perusahaan mempunyai 195 sampel dengan nilai minimum sebesar </w:t>
      </w:r>
      <w:r>
        <w:rPr>
          <w:rFonts w:ascii="Times New Roman" w:hAnsi="Times New Roman" w:cs="Times New Roman"/>
          <w:color w:val="010205"/>
          <w:sz w:val="24"/>
          <w:szCs w:val="24"/>
        </w:rPr>
        <w:t>-1.66 dengan nilai maksimum 1.70 serta standar deviasi  0.67168 dan nilai mean 0.2655 yang diukur menggunakan Price Book Value (PBV) pada perusahaan sub sektor perbankan dari tahun 2015-2019.</w:t>
      </w:r>
    </w:p>
    <w:p>
      <w:pPr>
        <w:pStyle w:val="23"/>
        <w:numPr>
          <w:ilvl w:val="1"/>
          <w:numId w:val="63"/>
        </w:numPr>
        <w:ind w:hanging="720"/>
        <w:rPr>
          <w:rFonts w:ascii="Times New Roman" w:hAnsi="Times New Roman" w:cs="Times New Roman"/>
          <w:b/>
          <w:sz w:val="24"/>
          <w:szCs w:val="24"/>
        </w:rPr>
      </w:pPr>
      <w:r>
        <w:rPr>
          <w:rFonts w:ascii="Times New Roman" w:hAnsi="Times New Roman" w:cs="Times New Roman"/>
          <w:b/>
          <w:sz w:val="24"/>
          <w:szCs w:val="24"/>
        </w:rPr>
        <w:t>Hasil Uji Asumsi Klasik</w:t>
      </w:r>
    </w:p>
    <w:p>
      <w:pPr>
        <w:ind w:firstLine="720"/>
        <w:rPr>
          <w:rFonts w:ascii="Times New Roman" w:hAnsi="Times New Roman" w:cs="Times New Roman"/>
          <w:sz w:val="24"/>
          <w:szCs w:val="24"/>
        </w:rPr>
      </w:pPr>
      <w:r>
        <w:rPr>
          <w:rFonts w:ascii="Times New Roman" w:hAnsi="Times New Roman" w:cs="Times New Roman"/>
          <w:sz w:val="24"/>
          <w:szCs w:val="24"/>
        </w:rPr>
        <w:t xml:space="preserve">Uji asumsi klasik dilakukan dengan menggunakan analisis regresi terhadap variabel independen dan variabel dependen. Adapun dalam penelitian ini variabel independen yang digunakan adalah </w:t>
      </w:r>
      <w:r>
        <w:rPr>
          <w:rFonts w:ascii="Times New Roman" w:hAnsi="Times New Roman" w:cs="Times New Roman"/>
          <w:i/>
          <w:sz w:val="24"/>
          <w:szCs w:val="24"/>
        </w:rPr>
        <w:t>Investment opportunity set</w:t>
      </w:r>
      <w:r>
        <w:rPr>
          <w:rFonts w:ascii="Times New Roman" w:hAnsi="Times New Roman" w:cs="Times New Roman"/>
          <w:sz w:val="24"/>
          <w:szCs w:val="24"/>
        </w:rPr>
        <w:t xml:space="preserve"> (IOS) yang terdiri dari </w:t>
      </w:r>
      <w:r>
        <w:rPr>
          <w:rFonts w:ascii="Times New Roman" w:hAnsi="Times New Roman" w:cs="Times New Roman"/>
          <w:i/>
          <w:sz w:val="24"/>
          <w:szCs w:val="24"/>
        </w:rPr>
        <w:t xml:space="preserve">market </w:t>
      </w:r>
      <w:r>
        <w:rPr>
          <w:rStyle w:val="25"/>
          <w:rFonts w:ascii="Times New Roman" w:hAnsi="Times New Roman" w:cs="Times New Roman"/>
          <w:i/>
          <w:sz w:val="24"/>
          <w:szCs w:val="24"/>
        </w:rPr>
        <w:t>value of equity (MBVE),</w:t>
      </w:r>
      <w:r>
        <w:rPr>
          <w:rStyle w:val="18"/>
          <w:rFonts w:eastAsiaTheme="minorHAnsi"/>
          <w:sz w:val="24"/>
          <w:szCs w:val="24"/>
        </w:rPr>
        <w:t xml:space="preserve">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 </w:t>
      </w:r>
      <w:r>
        <w:rPr>
          <w:rStyle w:val="25"/>
          <w:rFonts w:ascii="Times New Roman" w:hAnsi="Times New Roman" w:cs="Times New Roman"/>
          <w:i/>
          <w:sz w:val="24"/>
          <w:szCs w:val="24"/>
        </w:rPr>
        <w:t xml:space="preserve">Corporate Social Responbility </w:t>
      </w:r>
      <w:r>
        <w:rPr>
          <w:rFonts w:ascii="Times New Roman" w:hAnsi="Times New Roman" w:cs="Times New Roman"/>
          <w:sz w:val="24"/>
          <w:szCs w:val="24"/>
        </w:rPr>
        <w:t>(CSR), dan risiko bisnis sebagai variabel independen, serta nilai perusahaan sebagai variabel dependen. Agar model regresi yang dipakai menghasilkan nilai yang sesuai, terlebih dahulu data harus memenuhi empat uji asumsi klasik. Uji asumsi klasik yang telah dilakukan dan hasilnya adalah sebagai berikut :</w:t>
      </w:r>
    </w:p>
    <w:p>
      <w:pPr>
        <w:ind w:firstLine="720"/>
        <w:rPr>
          <w:rFonts w:ascii="Times New Roman" w:hAnsi="Times New Roman" w:cs="Times New Roman"/>
          <w:sz w:val="24"/>
          <w:szCs w:val="24"/>
        </w:rPr>
      </w:pPr>
    </w:p>
    <w:p>
      <w:pPr>
        <w:ind w:firstLine="720"/>
        <w:rPr>
          <w:rFonts w:ascii="Times New Roman" w:hAnsi="Times New Roman" w:cs="Times New Roman"/>
          <w:sz w:val="24"/>
          <w:szCs w:val="24"/>
        </w:rPr>
      </w:pPr>
    </w:p>
    <w:p>
      <w:pPr>
        <w:pStyle w:val="23"/>
        <w:numPr>
          <w:ilvl w:val="2"/>
          <w:numId w:val="63"/>
        </w:numPr>
        <w:rPr>
          <w:rFonts w:ascii="Times New Roman" w:hAnsi="Times New Roman" w:cs="Times New Roman"/>
          <w:b/>
          <w:sz w:val="24"/>
          <w:szCs w:val="24"/>
        </w:rPr>
      </w:pPr>
      <w:r>
        <w:rPr>
          <w:rFonts w:ascii="Times New Roman" w:hAnsi="Times New Roman" w:cs="Times New Roman"/>
          <w:b/>
          <w:sz w:val="24"/>
          <w:szCs w:val="24"/>
        </w:rPr>
        <w:t>Uji Normalitas</w:t>
      </w:r>
    </w:p>
    <w:p>
      <w:pPr>
        <w:tabs>
          <w:tab w:val="left" w:pos="90"/>
        </w:tabs>
        <w:ind w:firstLine="0"/>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Uji Normalitas merupakan sebuah uji yang dilakukan dengan tujuan untuk menilai sebaran data pada sebuah kelompok data atau </w:t>
      </w:r>
      <w:r>
        <w:rPr>
          <w:rFonts w:ascii="Times New Roman" w:hAnsi="Times New Roman" w:cs="Times New Roman"/>
          <w:i/>
          <w:sz w:val="24"/>
          <w:szCs w:val="24"/>
        </w:rPr>
        <w:t>variabel,</w:t>
      </w:r>
      <w:r>
        <w:rPr>
          <w:rFonts w:ascii="Times New Roman" w:hAnsi="Times New Roman" w:cs="Times New Roman"/>
          <w:sz w:val="24"/>
          <w:szCs w:val="24"/>
        </w:rPr>
        <w:t> apakah sebaran data tersebut berdistribusi normal ataukah tidak (Ghazali, 2016).</w:t>
      </w:r>
    </w:p>
    <w:p>
      <w:pPr>
        <w:ind w:firstLine="720"/>
        <w:rPr>
          <w:rFonts w:ascii="Times New Roman" w:hAnsi="Times New Roman" w:cs="Times New Roman"/>
          <w:sz w:val="24"/>
          <w:szCs w:val="24"/>
        </w:rPr>
      </w:pPr>
      <w:r>
        <w:rPr>
          <w:rFonts w:ascii="Times New Roman" w:hAnsi="Times New Roman" w:cs="Times New Roman"/>
          <w:sz w:val="24"/>
          <w:szCs w:val="24"/>
        </w:rPr>
        <w:t>Uji Normalitas bertujuan untuk menguji apakah dalam model regresi, variabel pengganggu atau residual memiliki distribusi normal, uji normalitas data dapat dilihat dengan</w:t>
      </w:r>
    </w:p>
    <w:p>
      <w:pPr>
        <w:ind w:firstLine="0"/>
        <w:rPr>
          <w:rFonts w:ascii="Times New Roman" w:hAnsi="Times New Roman" w:cs="Times New Roman"/>
          <w:sz w:val="24"/>
          <w:szCs w:val="24"/>
        </w:rPr>
      </w:pPr>
      <w:r>
        <w:rPr>
          <w:rFonts w:ascii="Times New Roman" w:hAnsi="Times New Roman" w:cs="Times New Roman"/>
          <w:sz w:val="24"/>
          <w:szCs w:val="24"/>
        </w:rPr>
        <w:t xml:space="preserve">menggunakan uji Normal </w:t>
      </w:r>
      <w:r>
        <w:rPr>
          <w:rFonts w:ascii="Times New Roman" w:hAnsi="Times New Roman" w:cs="Times New Roman"/>
          <w:i/>
          <w:sz w:val="24"/>
          <w:szCs w:val="24"/>
        </w:rPr>
        <w:t>Kolmogorov-Smirnov</w:t>
      </w:r>
      <w:r>
        <w:rPr>
          <w:rFonts w:ascii="Times New Roman" w:hAnsi="Times New Roman" w:cs="Times New Roman"/>
          <w:sz w:val="24"/>
          <w:szCs w:val="24"/>
        </w:rPr>
        <w:t xml:space="preserve">. Dengan menggunakan uji tersebut dasar pengambilan keputusan yang digunakan adalah jika sig &gt; 0,05 maka data berdistribusi normal, sebaliknya jika sig &lt; 0,05 maka data tidak berdistribusi normal </w:t>
      </w:r>
      <w:sdt>
        <w:sdtPr>
          <w:rPr>
            <w:rFonts w:ascii="Times New Roman" w:hAnsi="Times New Roman" w:cs="Times New Roman"/>
            <w:sz w:val="24"/>
            <w:szCs w:val="24"/>
          </w:rPr>
          <w:id w:val="440209941"/>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Dar18 \l 1033 </w:instrText>
          </w:r>
          <w:r>
            <w:rPr>
              <w:rFonts w:ascii="Times New Roman" w:hAnsi="Times New Roman" w:cs="Times New Roman"/>
              <w:sz w:val="24"/>
              <w:szCs w:val="24"/>
            </w:rPr>
            <w:fldChar w:fldCharType="separate"/>
          </w:r>
          <w:r>
            <w:rPr>
              <w:rFonts w:ascii="Times New Roman" w:hAnsi="Times New Roman" w:cs="Times New Roman"/>
              <w:sz w:val="24"/>
              <w:szCs w:val="24"/>
            </w:rPr>
            <w:t>(Darman &amp; Mooduto,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pPr>
        <w:ind w:firstLine="0"/>
        <w:jc w:val="center"/>
        <w:rPr>
          <w:rFonts w:ascii="Times New Roman" w:hAnsi="Times New Roman" w:cs="Times New Roman"/>
          <w:sz w:val="24"/>
          <w:szCs w:val="24"/>
        </w:rPr>
      </w:pPr>
      <w:r>
        <w:rPr>
          <w:rFonts w:ascii="Times New Roman" w:hAnsi="Times New Roman" w:cs="Times New Roman"/>
          <w:b/>
          <w:sz w:val="24"/>
          <w:szCs w:val="24"/>
        </w:rPr>
        <w:t>TABEL 4.2</w:t>
      </w:r>
    </w:p>
    <w:p>
      <w:pPr>
        <w:ind w:firstLine="0"/>
        <w:jc w:val="center"/>
        <w:rPr>
          <w:rFonts w:ascii="Times New Roman" w:hAnsi="Times New Roman" w:cs="Times New Roman"/>
          <w:b/>
          <w:sz w:val="24"/>
          <w:szCs w:val="24"/>
        </w:rPr>
      </w:pPr>
      <w:r>
        <w:rPr>
          <w:rFonts w:ascii="Times New Roman" w:hAnsi="Times New Roman" w:cs="Times New Roman"/>
          <w:b/>
          <w:sz w:val="24"/>
          <w:szCs w:val="24"/>
        </w:rPr>
        <w:t>Uji Kolmogorov-Smirnov Test</w:t>
      </w:r>
    </w:p>
    <w:tbl>
      <w:tblPr>
        <w:tblStyle w:val="6"/>
        <w:tblW w:w="6499" w:type="dxa"/>
        <w:tblInd w:w="18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167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6499" w:type="dxa"/>
            <w:gridSpan w:val="3"/>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One-Sample Kolmogorov-Smirnov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271"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670"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558"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Unstandardized Residual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w:t>
            </w: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Normal Parameters</w:t>
            </w:r>
            <w:r>
              <w:rPr>
                <w:rFonts w:hint="eastAsia" w:ascii="Times New Roman" w:hAnsi="Times New Roman" w:eastAsia="Times New Roman" w:cs="Times New Roman"/>
                <w:sz w:val="24"/>
                <w:szCs w:val="24"/>
                <w:vertAlign w:val="superscript"/>
              </w:rPr>
              <w:t>a,b</w:t>
            </w: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Mean</w:t>
            </w: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Std. Deviation</w:t>
            </w: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0.64973493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Most Extreme Differences</w:t>
            </w: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Absolute</w:t>
            </w: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Positive</w:t>
            </w: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Negative</w:t>
            </w: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Test Statistic</w:t>
            </w: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271"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Asymp. Sig. (2-tailed)</w:t>
            </w:r>
          </w:p>
        </w:tc>
        <w:tc>
          <w:tcPr>
            <w:tcW w:w="1670"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558"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,200</w:t>
            </w:r>
            <w:r>
              <w:rPr>
                <w:rFonts w:hint="eastAsia" w:ascii="Times New Roman" w:hAnsi="Times New Roman" w:eastAsia="Times New Roman" w:cs="Times New Roman"/>
                <w:sz w:val="24"/>
                <w:szCs w:val="24"/>
                <w:vertAlign w:val="superscript"/>
              </w:rPr>
              <w:t>c,d</w:t>
            </w:r>
          </w:p>
        </w:tc>
      </w:tr>
    </w:tbl>
    <w:p>
      <w:pPr>
        <w:autoSpaceDE w:val="0"/>
        <w:autoSpaceDN w:val="0"/>
        <w:adjustRightInd w:val="0"/>
        <w:spacing w:line="360" w:lineRule="auto"/>
        <w:ind w:left="1440" w:firstLine="0"/>
        <w:jc w:val="left"/>
        <w:rPr>
          <w:rFonts w:ascii="Times New Roman" w:hAnsi="Times New Roman"/>
          <w:sz w:val="24"/>
          <w:szCs w:val="24"/>
        </w:rPr>
      </w:pPr>
      <w:r>
        <w:rPr>
          <w:rFonts w:ascii="Times New Roman" w:hAnsi="Times New Roman" w:eastAsia="Calibri" w:cs="Times New Roman"/>
          <w:color w:val="010205"/>
          <w:sz w:val="24"/>
          <w:szCs w:val="24"/>
        </w:rPr>
        <w:t xml:space="preserve">      Sumber : Hasil Pengolahan SPSS 26</w:t>
      </w:r>
    </w:p>
    <w:p>
      <w:pPr>
        <w:ind w:firstLine="720"/>
        <w:rPr>
          <w:rFonts w:ascii="Times New Roman" w:hAnsi="Times New Roman" w:cs="Times New Roman"/>
          <w:sz w:val="24"/>
          <w:szCs w:val="24"/>
        </w:rPr>
      </w:pPr>
      <w:r>
        <w:rPr>
          <w:rFonts w:ascii="Times New Roman" w:hAnsi="Times New Roman" w:cs="Times New Roman"/>
          <w:sz w:val="24"/>
          <w:szCs w:val="24"/>
        </w:rPr>
        <w:t xml:space="preserve">Hasil uji </w:t>
      </w:r>
      <w:r>
        <w:rPr>
          <w:rFonts w:ascii="Times New Roman" w:hAnsi="Times New Roman" w:cs="Times New Roman"/>
          <w:i/>
          <w:sz w:val="24"/>
          <w:szCs w:val="24"/>
        </w:rPr>
        <w:t>Kolmogrove Smirnov</w:t>
      </w:r>
      <w:r>
        <w:rPr>
          <w:rFonts w:ascii="Times New Roman" w:hAnsi="Times New Roman" w:cs="Times New Roman"/>
          <w:sz w:val="24"/>
          <w:szCs w:val="24"/>
        </w:rPr>
        <w:t xml:space="preserve"> dapat di simpulkan bahwa nilai signifikan dengan ketentuan, apabila nilai signifikan lebih besar dari 5% (0,05) Nilai signifikan pada tabel 4.1 sebesar 0, 200 dengan  standar  yang digunakan   5% sehingga dapat disimpulkan bahwa residual meyebar normal karena nilai signifikan 0,200 &gt; 5% yang berarti uji normalitas terpenuhi dan berdistribusi normal.</w:t>
      </w:r>
    </w:p>
    <w:p>
      <w:pPr>
        <w:ind w:firstLine="0"/>
        <w:rPr>
          <w:rFonts w:ascii="Times New Roman" w:hAnsi="Times New Roman" w:cs="Times New Roman"/>
          <w:sz w:val="24"/>
          <w:szCs w:val="24"/>
        </w:rPr>
      </w:pPr>
      <w:r>
        <w:rPr>
          <w:rFonts w:ascii="Times New Roman" w:hAnsi="Times New Roman" w:cs="Times New Roman"/>
          <w:b/>
          <w:sz w:val="24"/>
          <w:szCs w:val="24"/>
        </w:rPr>
        <w:t xml:space="preserve">4.3.2  </w:t>
      </w:r>
      <w:r>
        <w:rPr>
          <w:rFonts w:ascii="Times New Roman" w:hAnsi="Times New Roman" w:cs="Times New Roman"/>
          <w:b/>
          <w:sz w:val="24"/>
          <w:szCs w:val="24"/>
        </w:rPr>
        <w:tab/>
      </w:r>
      <w:r>
        <w:rPr>
          <w:rFonts w:ascii="Times New Roman" w:hAnsi="Times New Roman" w:cs="Times New Roman"/>
          <w:b/>
          <w:sz w:val="24"/>
          <w:szCs w:val="24"/>
        </w:rPr>
        <w:t>Uji Multikolinearitas</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multikolinearitas </w:t>
      </w:r>
      <w:r>
        <w:rPr>
          <w:rStyle w:val="25"/>
          <w:rFonts w:ascii="Times New Roman" w:hAnsi="Times New Roman" w:cs="Times New Roman"/>
          <w:sz w:val="24"/>
          <w:szCs w:val="24"/>
        </w:rPr>
        <w:t xml:space="preserve">merupakan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yang dilakukan untuk memastikan apakah di dalam sebuah model regresi ada interkorelasi atau kolinearitas antar variabel bebas </w:t>
      </w:r>
      <w:r>
        <w:rPr>
          <w:rFonts w:ascii="Times New Roman" w:hAnsi="Times New Roman" w:cs="Times New Roman"/>
          <w:sz w:val="24"/>
          <w:szCs w:val="24"/>
        </w:rPr>
        <w:t>(Ghozali, 2016).</w:t>
      </w:r>
    </w:p>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Multikolinearitas atau kolinearitas ganda </w:t>
      </w:r>
      <w:r>
        <w:rPr>
          <w:rFonts w:ascii="Times New Roman" w:hAnsi="Times New Roman" w:cs="Times New Roman"/>
          <w:i/>
          <w:sz w:val="24"/>
          <w:szCs w:val="24"/>
        </w:rPr>
        <w:t>(Multicolinearity)</w:t>
      </w:r>
      <w:r>
        <w:rPr>
          <w:rFonts w:ascii="Times New Roman" w:hAnsi="Times New Roman" w:cs="Times New Roman"/>
          <w:sz w:val="24"/>
          <w:szCs w:val="24"/>
        </w:rPr>
        <w:t xml:space="preserve"> adalah adanya hubungan linear antara variabel bebas X dalam model regresi ganda. Dalam pengujian Multikolinearitas dapat dilihat dari tabel </w:t>
      </w:r>
      <w:r>
        <w:rPr>
          <w:rFonts w:ascii="Times New Roman" w:hAnsi="Times New Roman" w:cs="Times New Roman"/>
          <w:i/>
          <w:sz w:val="24"/>
          <w:szCs w:val="24"/>
        </w:rPr>
        <w:t xml:space="preserve">Variance Inflation Factor ( VIF ). </w:t>
      </w:r>
      <w:r>
        <w:rPr>
          <w:rFonts w:ascii="Times New Roman" w:hAnsi="Times New Roman" w:cs="Times New Roman"/>
          <w:sz w:val="24"/>
          <w:szCs w:val="24"/>
        </w:rPr>
        <w:t>Hasil uji Multikolinearitas dalam penelitian ini dapat dilihat pada tabel dibawah ini.</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TABEL 4.3</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Uji Multikolinearitas</w:t>
      </w:r>
    </w:p>
    <w:tbl>
      <w:tblPr>
        <w:tblStyle w:val="6"/>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486"/>
        <w:gridCol w:w="1065"/>
        <w:gridCol w:w="779"/>
        <w:gridCol w:w="1260"/>
        <w:gridCol w:w="1030"/>
        <w:gridCol w:w="590"/>
        <w:gridCol w:w="90"/>
        <w:gridCol w:w="108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4" w:hRule="atLeast"/>
          <w:jc w:val="center"/>
        </w:trPr>
        <w:tc>
          <w:tcPr>
            <w:tcW w:w="8460" w:type="dxa"/>
            <w:gridSpan w:val="10"/>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b/>
                <w:bCs/>
                <w:color w:val="010205"/>
                <w:sz w:val="24"/>
                <w:szCs w:val="24"/>
              </w:rPr>
              <w:t>Coefficients</w:t>
            </w:r>
            <w:r>
              <w:rPr>
                <w:rFonts w:hint="eastAsia" w:ascii="Times New Roman" w:hAnsi="Times New Roman" w:cs="Times New Roman"/>
                <w:b/>
                <w:bCs/>
                <w:color w:val="010205"/>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1846" w:type="dxa"/>
            <w:gridSpan w:val="2"/>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1844"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Unstandardized Coefficients</w:t>
            </w:r>
          </w:p>
        </w:tc>
        <w:tc>
          <w:tcPr>
            <w:tcW w:w="126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Standardized Coefficients</w:t>
            </w:r>
          </w:p>
        </w:tc>
        <w:tc>
          <w:tcPr>
            <w:tcW w:w="1030"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w:t>
            </w:r>
          </w:p>
        </w:tc>
        <w:tc>
          <w:tcPr>
            <w:tcW w:w="590"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c>
          <w:tcPr>
            <w:tcW w:w="1890" w:type="dxa"/>
            <w:gridSpan w:val="3"/>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Collinearity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jc w:val="center"/>
        </w:trPr>
        <w:tc>
          <w:tcPr>
            <w:tcW w:w="1846" w:type="dxa"/>
            <w:gridSpan w:val="2"/>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6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w:t>
            </w:r>
          </w:p>
        </w:tc>
        <w:tc>
          <w:tcPr>
            <w:tcW w:w="77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Std. Error</w:t>
            </w:r>
          </w:p>
        </w:tc>
        <w:tc>
          <w:tcPr>
            <w:tcW w:w="126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Beta</w:t>
            </w:r>
          </w:p>
        </w:tc>
        <w:tc>
          <w:tcPr>
            <w:tcW w:w="1030"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590"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170"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Tolerance</w:t>
            </w:r>
          </w:p>
        </w:tc>
        <w:tc>
          <w:tcPr>
            <w:tcW w:w="72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4" w:hRule="atLeast"/>
          <w:jc w:val="center"/>
        </w:trPr>
        <w:tc>
          <w:tcPr>
            <w:tcW w:w="360"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1</w:t>
            </w:r>
          </w:p>
        </w:tc>
        <w:tc>
          <w:tcPr>
            <w:tcW w:w="148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(Constant)</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-.176</w:t>
            </w:r>
          </w:p>
        </w:tc>
        <w:tc>
          <w:tcPr>
            <w:tcW w:w="77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.151</w:t>
            </w:r>
          </w:p>
        </w:tc>
        <w:tc>
          <w:tcPr>
            <w:tcW w:w="1260"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-1.171</w:t>
            </w:r>
          </w:p>
        </w:tc>
        <w:tc>
          <w:tcPr>
            <w:tcW w:w="680" w:type="dxa"/>
            <w:gridSpan w:val="2"/>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.243</w:t>
            </w:r>
          </w:p>
        </w:tc>
        <w:tc>
          <w:tcPr>
            <w:tcW w:w="1080"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720"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jc w:val="center"/>
        </w:trPr>
        <w:tc>
          <w:tcPr>
            <w:tcW w:w="36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48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MBVE</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.055</w:t>
            </w:r>
          </w:p>
        </w:tc>
        <w:tc>
          <w:tcPr>
            <w:tcW w:w="77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.022</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.179</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2.428</w:t>
            </w:r>
          </w:p>
        </w:tc>
        <w:tc>
          <w:tcPr>
            <w:tcW w:w="680" w:type="dxa"/>
            <w:gridSpan w:val="2"/>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.016</w:t>
            </w:r>
          </w:p>
        </w:tc>
        <w:tc>
          <w:tcPr>
            <w:tcW w:w="108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.908</w:t>
            </w:r>
          </w:p>
        </w:tc>
        <w:tc>
          <w:tcPr>
            <w:tcW w:w="72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jc w:val="center"/>
        </w:trPr>
        <w:tc>
          <w:tcPr>
            <w:tcW w:w="36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48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CAPBVA</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-.021</w:t>
            </w:r>
          </w:p>
        </w:tc>
        <w:tc>
          <w:tcPr>
            <w:tcW w:w="77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.020</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-.104</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-1.020</w:t>
            </w:r>
          </w:p>
        </w:tc>
        <w:tc>
          <w:tcPr>
            <w:tcW w:w="680" w:type="dxa"/>
            <w:gridSpan w:val="2"/>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.309</w:t>
            </w:r>
          </w:p>
        </w:tc>
        <w:tc>
          <w:tcPr>
            <w:tcW w:w="108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.476</w:t>
            </w:r>
          </w:p>
        </w:tc>
        <w:tc>
          <w:tcPr>
            <w:tcW w:w="72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jc w:val="center"/>
        </w:trPr>
        <w:tc>
          <w:tcPr>
            <w:tcW w:w="36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48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CSR</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-.038</w:t>
            </w:r>
          </w:p>
        </w:tc>
        <w:tc>
          <w:tcPr>
            <w:tcW w:w="77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.019</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-.141</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-1.999</w:t>
            </w:r>
          </w:p>
        </w:tc>
        <w:tc>
          <w:tcPr>
            <w:tcW w:w="680" w:type="dxa"/>
            <w:gridSpan w:val="2"/>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.047</w:t>
            </w:r>
          </w:p>
        </w:tc>
        <w:tc>
          <w:tcPr>
            <w:tcW w:w="108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.985</w:t>
            </w:r>
          </w:p>
        </w:tc>
        <w:tc>
          <w:tcPr>
            <w:tcW w:w="72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jc w:val="center"/>
        </w:trPr>
        <w:tc>
          <w:tcPr>
            <w:tcW w:w="36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48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RISIKO BISNIS</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.012</w:t>
            </w:r>
          </w:p>
        </w:tc>
        <w:tc>
          <w:tcPr>
            <w:tcW w:w="77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.024</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.049</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.496</w:t>
            </w:r>
          </w:p>
        </w:tc>
        <w:tc>
          <w:tcPr>
            <w:tcW w:w="680" w:type="dxa"/>
            <w:gridSpan w:val="2"/>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.621</w:t>
            </w:r>
          </w:p>
        </w:tc>
        <w:tc>
          <w:tcPr>
            <w:tcW w:w="108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.512</w:t>
            </w:r>
          </w:p>
        </w:tc>
        <w:tc>
          <w:tcPr>
            <w:tcW w:w="72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1.953</w:t>
            </w:r>
          </w:p>
        </w:tc>
      </w:tr>
    </w:tbl>
    <w:p>
      <w:pPr>
        <w:autoSpaceDE w:val="0"/>
        <w:autoSpaceDN w:val="0"/>
        <w:adjustRightInd w:val="0"/>
        <w:spacing w:line="360" w:lineRule="auto"/>
        <w:ind w:firstLine="720"/>
        <w:rPr>
          <w:rFonts w:ascii="Times New Roman" w:hAnsi="Times New Roman" w:eastAsia="Calibri" w:cs="Times New Roman"/>
          <w:color w:val="010205"/>
          <w:sz w:val="24"/>
          <w:szCs w:val="24"/>
        </w:rPr>
      </w:pPr>
      <w:r>
        <w:rPr>
          <w:rFonts w:ascii="Times New Roman" w:hAnsi="Times New Roman" w:eastAsia="Calibri" w:cs="Times New Roman"/>
          <w:color w:val="010205"/>
          <w:sz w:val="24"/>
          <w:szCs w:val="24"/>
        </w:rPr>
        <w:t>Sumber : Hasil Pengolahan SPSS 26</w:t>
      </w:r>
    </w:p>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Hasil dari uji Multikolinearitas dapat dilihat pada tabel nilai VIF dengan ketentuan, apabila nilai VIF &lt; 10 maka disimpulkan bahwa tidak terdapat Multikolinearitas diantara variabel independent, dan apabila nilai VIF  &gt; 10 maka dapat disimpulkan bahwa asumsi model tersebut mengandung Multikolinearitas </w:t>
      </w:r>
      <w:sdt>
        <w:sdtPr>
          <w:rPr>
            <w:rFonts w:ascii="Times New Roman" w:hAnsi="Times New Roman" w:cs="Times New Roman"/>
            <w:sz w:val="24"/>
            <w:szCs w:val="24"/>
          </w:rPr>
          <w:id w:val="52980231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ASL18 \l 1033  </w:instrText>
          </w:r>
          <w:r>
            <w:rPr>
              <w:rFonts w:ascii="Times New Roman" w:hAnsi="Times New Roman" w:cs="Times New Roman"/>
              <w:sz w:val="24"/>
              <w:szCs w:val="24"/>
            </w:rPr>
            <w:fldChar w:fldCharType="separate"/>
          </w:r>
          <w:r>
            <w:rPr>
              <w:rFonts w:ascii="Times New Roman" w:hAnsi="Times New Roman" w:cs="Times New Roman"/>
              <w:sz w:val="24"/>
              <w:szCs w:val="24"/>
            </w:rPr>
            <w:t>(Aslikhan, 2018)</w:t>
          </w:r>
          <w:r>
            <w:rPr>
              <w:rFonts w:ascii="Times New Roman" w:hAnsi="Times New Roman" w:cs="Times New Roman"/>
              <w:sz w:val="24"/>
              <w:szCs w:val="24"/>
            </w:rPr>
            <w:fldChar w:fldCharType="end"/>
          </w:r>
        </w:sdtContent>
      </w:sdt>
      <w:r>
        <w:rPr>
          <w:rFonts w:ascii="Times New Roman" w:hAnsi="Times New Roman" w:cs="Times New Roman"/>
          <w:sz w:val="24"/>
          <w:szCs w:val="24"/>
        </w:rPr>
        <w:t>. Berdasarkan tabel nilai VIF dari variabel independent MBVE, CAPBVA, CSR, RISIKO BISNIS dapat disimpulkan bahwa tidak terjadi Multikolinearitas, sebab nilai VIF MBVE (1.101) CAPBVA (2.101), CSR (1.015) RISIKO BISNIS (</w:t>
      </w:r>
      <w:r>
        <w:rPr>
          <w:rFonts w:ascii="Times New Roman" w:hAnsi="Times New Roman" w:cs="Times New Roman"/>
          <w:color w:val="010205"/>
          <w:sz w:val="24"/>
          <w:szCs w:val="24"/>
        </w:rPr>
        <w:t xml:space="preserve">1.953) </w:t>
      </w:r>
      <w:r>
        <w:rPr>
          <w:rFonts w:ascii="Times New Roman" w:hAnsi="Times New Roman" w:cs="Times New Roman"/>
          <w:sz w:val="24"/>
          <w:szCs w:val="24"/>
        </w:rPr>
        <w:t>lebih keci dari dari 10.</w:t>
      </w:r>
    </w:p>
    <w:p>
      <w:pPr>
        <w:ind w:firstLine="0"/>
        <w:rPr>
          <w:rFonts w:ascii="Times New Roman" w:hAnsi="Times New Roman" w:cs="Times New Roman"/>
          <w:b/>
          <w:sz w:val="24"/>
          <w:szCs w:val="24"/>
        </w:rPr>
      </w:pPr>
      <w:r>
        <w:rPr>
          <w:rFonts w:ascii="Times New Roman" w:hAnsi="Times New Roman" w:cs="Times New Roman"/>
          <w:b/>
          <w:sz w:val="24"/>
          <w:szCs w:val="24"/>
        </w:rPr>
        <w:t>4.3.3 Uji Autokorelasi</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autokorelasi merupakan </w:t>
      </w:r>
      <w:r>
        <w:rPr>
          <w:rStyle w:val="25"/>
          <w:rFonts w:ascii="Times New Roman" w:hAnsi="Times New Roman" w:cs="Times New Roman"/>
          <w:sz w:val="24"/>
          <w:szCs w:val="24"/>
        </w:rPr>
        <w:t xml:space="preserve">sebuah analisis statistik yang dilakukan untuk mengetahui adakah korelasi </w:t>
      </w:r>
      <w:r>
        <w:rPr>
          <w:rStyle w:val="25"/>
          <w:rFonts w:ascii="Times New Roman" w:hAnsi="Times New Roman" w:cs="Times New Roman"/>
          <w:i/>
          <w:sz w:val="24"/>
          <w:szCs w:val="24"/>
        </w:rPr>
        <w:t>variabel</w:t>
      </w:r>
      <w:r>
        <w:rPr>
          <w:rStyle w:val="25"/>
          <w:rFonts w:ascii="Times New Roman" w:hAnsi="Times New Roman" w:cs="Times New Roman"/>
          <w:sz w:val="24"/>
          <w:szCs w:val="24"/>
        </w:rPr>
        <w:t xml:space="preserve"> yang ada di dalam model prediksi dengan perubahan waktu </w:t>
      </w:r>
      <w:r>
        <w:rPr>
          <w:rFonts w:ascii="Times New Roman" w:hAnsi="Times New Roman" w:cs="Times New Roman"/>
          <w:sz w:val="24"/>
          <w:szCs w:val="24"/>
        </w:rPr>
        <w:t>(Ghazali, 2016).</w:t>
      </w:r>
    </w:p>
    <w:p>
      <w:pPr>
        <w:ind w:firstLine="720"/>
        <w:rPr>
          <w:rFonts w:ascii="Times New Roman" w:hAnsi="Times New Roman" w:cs="Times New Roman"/>
          <w:sz w:val="24"/>
          <w:szCs w:val="24"/>
        </w:rPr>
      </w:pPr>
      <w:r>
        <w:rPr>
          <w:rFonts w:ascii="Times New Roman" w:hAnsi="Times New Roman" w:cs="Times New Roman"/>
          <w:sz w:val="24"/>
          <w:szCs w:val="24"/>
        </w:rPr>
        <w:t xml:space="preserve">Uji autokorelasi ini digunakan untuk mengetahui ada atau tidaknya penyimpangan asumsi klasik, pengujian autokorelasi yaitu “ korelasi yang terjadi atara residual pada satu pengamatan lain pada model regresi dengan syarat yang harus terpenuhi adalah tidak adanya autokorelasi dalam model regresi. Persyaratan yang terpenuhi adalah tidak adanya autokorelasi dalam model regresi. Uji autokorelasi dapat diuji dengan Uji </w:t>
      </w:r>
      <w:r>
        <w:rPr>
          <w:rFonts w:ascii="Times New Roman" w:hAnsi="Times New Roman" w:cs="Times New Roman"/>
          <w:i/>
          <w:sz w:val="24"/>
          <w:szCs w:val="24"/>
        </w:rPr>
        <w:t>Durbin Watson</w:t>
      </w:r>
      <w:r>
        <w:rPr>
          <w:rFonts w:ascii="Times New Roman" w:hAnsi="Times New Roman" w:cs="Times New Roman"/>
          <w:sz w:val="24"/>
          <w:szCs w:val="24"/>
        </w:rPr>
        <w:t xml:space="preserve">. penggunaan </w:t>
      </w:r>
      <w:r>
        <w:rPr>
          <w:rFonts w:ascii="Times New Roman" w:hAnsi="Times New Roman" w:cs="Times New Roman"/>
          <w:i/>
          <w:sz w:val="24"/>
          <w:szCs w:val="24"/>
        </w:rPr>
        <w:t>Durbin-Watson</w:t>
      </w:r>
      <w:r>
        <w:rPr>
          <w:rFonts w:ascii="Times New Roman" w:hAnsi="Times New Roman" w:cs="Times New Roman"/>
          <w:sz w:val="24"/>
          <w:szCs w:val="24"/>
        </w:rPr>
        <w:t xml:space="preserve"> untuk uji autokorelasi adakalanya memberikan hasil yang menyatakan bahwa data yang diuji tidak dapat dipastikan apakah lolos dari masalah autokorelasi atau tidak, sebagai alternatif dapat menggunakan uji </w:t>
      </w:r>
      <w:r>
        <w:rPr>
          <w:rFonts w:ascii="Times New Roman" w:hAnsi="Times New Roman" w:cs="Times New Roman"/>
          <w:i/>
          <w:sz w:val="24"/>
          <w:szCs w:val="24"/>
        </w:rPr>
        <w:t>run test,</w:t>
      </w:r>
      <w:r>
        <w:rPr>
          <w:rFonts w:ascii="Times New Roman" w:hAnsi="Times New Roman" w:cs="Times New Roman"/>
          <w:sz w:val="24"/>
          <w:szCs w:val="24"/>
        </w:rPr>
        <w:t xml:space="preserve"> uji ini digunakan untuk melihat apakah data residual bersifat acak atau tidak, </w:t>
      </w:r>
      <w:r>
        <w:rPr>
          <w:rFonts w:ascii="Times New Roman" w:hAnsi="Times New Roman" w:cs="Times New Roman"/>
          <w:i/>
          <w:sz w:val="24"/>
          <w:szCs w:val="24"/>
        </w:rPr>
        <w:t>run test</w:t>
      </w:r>
      <w:r>
        <w:rPr>
          <w:rFonts w:ascii="Times New Roman" w:hAnsi="Times New Roman" w:cs="Times New Roman"/>
          <w:sz w:val="24"/>
          <w:szCs w:val="24"/>
        </w:rPr>
        <w:t xml:space="preserve"> sebagai bagaian dari statistic non-parametrik dapat pula digunakan untuk menguji antara  residual terdapat korelasi yang tinggidigunakan untuk melihat apakah data residual terjadi secara random atau tidak (sistematis) </w:t>
      </w:r>
      <w:sdt>
        <w:sdtPr>
          <w:rPr>
            <w:rFonts w:ascii="Times New Roman" w:hAnsi="Times New Roman" w:cs="Times New Roman"/>
            <w:sz w:val="24"/>
            <w:szCs w:val="24"/>
          </w:rPr>
          <w:id w:val="260722485"/>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Dar18 \l 1033 </w:instrText>
          </w:r>
          <w:r>
            <w:rPr>
              <w:rFonts w:ascii="Times New Roman" w:hAnsi="Times New Roman" w:cs="Times New Roman"/>
              <w:sz w:val="24"/>
              <w:szCs w:val="24"/>
            </w:rPr>
            <w:fldChar w:fldCharType="separate"/>
          </w:r>
          <w:r>
            <w:rPr>
              <w:rFonts w:ascii="Times New Roman" w:hAnsi="Times New Roman" w:cs="Times New Roman"/>
              <w:sz w:val="24"/>
              <w:szCs w:val="24"/>
            </w:rPr>
            <w:t>(Darman &amp; Mooduto,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TABEL 4.4</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Uji Autokorelasi</w:t>
      </w:r>
    </w:p>
    <w:tbl>
      <w:tblPr>
        <w:tblStyle w:val="6"/>
        <w:tblW w:w="4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252" w:type="dxa"/>
            <w:gridSpan w:val="2"/>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Runs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60"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2693"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Unstandardized Residual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Test Value</w:t>
            </w:r>
            <w:r>
              <w:rPr>
                <w:rFonts w:hint="eastAsia" w:ascii="Times New Roman" w:hAnsi="Times New Roman" w:eastAsia="Times New Roman" w:cs="Times New Roman"/>
                <w:sz w:val="24"/>
                <w:szCs w:val="24"/>
                <w:vertAlign w:val="superscript"/>
              </w:rPr>
              <w:t>a</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Cases &lt; Test Value</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Cases &gt;= Test Value</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Total Cases</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Number of Runs</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Z</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-7.682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60"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Asymp. Sig. (2-tailed)</w:t>
            </w:r>
          </w:p>
        </w:tc>
        <w:tc>
          <w:tcPr>
            <w:tcW w:w="269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0.100</w:t>
            </w:r>
          </w:p>
        </w:tc>
      </w:tr>
    </w:tbl>
    <w:p>
      <w:pPr>
        <w:autoSpaceDE w:val="0"/>
        <w:autoSpaceDN w:val="0"/>
        <w:adjustRightInd w:val="0"/>
        <w:ind w:left="1440" w:firstLine="720"/>
        <w:rPr>
          <w:rFonts w:ascii="Times New Roman" w:hAnsi="Times New Roman" w:eastAsia="Calibri" w:cs="Times New Roman"/>
          <w:color w:val="010205"/>
          <w:sz w:val="24"/>
          <w:szCs w:val="24"/>
        </w:rPr>
      </w:pPr>
      <w:r>
        <w:rPr>
          <w:rFonts w:ascii="Times New Roman" w:hAnsi="Times New Roman" w:eastAsia="Calibri" w:cs="Times New Roman"/>
          <w:color w:val="010205"/>
          <w:sz w:val="24"/>
          <w:szCs w:val="24"/>
        </w:rPr>
        <w:t>Sumber: Hasil Pengolahan SPSS 26</w:t>
      </w:r>
    </w:p>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Berdasarkan hasil uji autokorelasi dengan </w:t>
      </w:r>
      <w:r>
        <w:rPr>
          <w:rFonts w:ascii="Times New Roman" w:hAnsi="Times New Roman" w:cs="Times New Roman"/>
          <w:i/>
          <w:sz w:val="24"/>
          <w:szCs w:val="24"/>
        </w:rPr>
        <w:t>Run Test</w:t>
      </w:r>
      <w:r>
        <w:rPr>
          <w:rFonts w:ascii="Times New Roman" w:hAnsi="Times New Roman" w:cs="Times New Roman"/>
          <w:sz w:val="24"/>
          <w:szCs w:val="24"/>
        </w:rPr>
        <w:t xml:space="preserve"> pada tabel 4.4 menunjukkan bahwa nilai Asymp. Sig. (2-tailed) sebesar 0,100 &gt; dari 0,05. Maka dapat disimpulkan bahwa model regresi bebas dari masalah autokorelasi atau tidak terjadi autokorelasi. </w:t>
      </w:r>
    </w:p>
    <w:p>
      <w:pPr>
        <w:autoSpaceDE w:val="0"/>
        <w:autoSpaceDN w:val="0"/>
        <w:adjustRightInd w:val="0"/>
        <w:ind w:firstLine="0"/>
        <w:rPr>
          <w:rFonts w:ascii="Times New Roman" w:hAnsi="Times New Roman" w:cs="Times New Roman"/>
          <w:b/>
          <w:sz w:val="24"/>
          <w:szCs w:val="24"/>
        </w:rPr>
      </w:pPr>
      <w:r>
        <w:rPr>
          <w:rFonts w:ascii="Times New Roman" w:hAnsi="Times New Roman" w:cs="Times New Roman"/>
          <w:b/>
          <w:sz w:val="24"/>
          <w:szCs w:val="24"/>
        </w:rPr>
        <w:t>4.3.4</w:t>
      </w:r>
      <w:r>
        <w:rPr>
          <w:rFonts w:ascii="Times New Roman" w:hAnsi="Times New Roman" w:cs="Times New Roman"/>
          <w:b/>
          <w:sz w:val="24"/>
          <w:szCs w:val="24"/>
        </w:rPr>
        <w:tab/>
      </w:r>
      <w:r>
        <w:rPr>
          <w:rFonts w:ascii="Times New Roman" w:hAnsi="Times New Roman" w:cs="Times New Roman"/>
          <w:b/>
          <w:sz w:val="24"/>
          <w:szCs w:val="24"/>
        </w:rPr>
        <w:t xml:space="preserve"> Uji Heteroskedasitas</w:t>
      </w:r>
    </w:p>
    <w:p>
      <w:pPr>
        <w:tabs>
          <w:tab w:val="left" w:pos="90"/>
        </w:tabs>
        <w:ind w:firstLine="720"/>
        <w:rPr>
          <w:rFonts w:ascii="Times New Roman" w:hAnsi="Times New Roman" w:cs="Times New Roman"/>
          <w:sz w:val="24"/>
          <w:szCs w:val="24"/>
        </w:rPr>
      </w:pPr>
      <w:r>
        <w:rPr>
          <w:rFonts w:ascii="Times New Roman" w:hAnsi="Times New Roman" w:cs="Times New Roman"/>
          <w:sz w:val="24"/>
          <w:szCs w:val="24"/>
        </w:rPr>
        <w:t xml:space="preserve">Uji Heteroskedastisitas </w:t>
      </w:r>
      <w:r>
        <w:rPr>
          <w:rStyle w:val="25"/>
          <w:rFonts w:ascii="Times New Roman" w:hAnsi="Times New Roman" w:cs="Times New Roman"/>
          <w:sz w:val="24"/>
          <w:szCs w:val="24"/>
        </w:rPr>
        <w:t xml:space="preserve">adalah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yang menilai apakah ada ketidaksamaan varian dari residual untuk semua pengamatan pada model regresi linear.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ini merupakan salah satu dari </w:t>
      </w:r>
      <w:r>
        <w:rPr>
          <w:rStyle w:val="25"/>
          <w:rFonts w:ascii="Times New Roman" w:hAnsi="Times New Roman" w:cs="Times New Roman"/>
          <w:bCs/>
          <w:sz w:val="24"/>
          <w:szCs w:val="24"/>
        </w:rPr>
        <w:t>uji</w:t>
      </w:r>
      <w:r>
        <w:rPr>
          <w:rStyle w:val="25"/>
          <w:rFonts w:ascii="Times New Roman" w:hAnsi="Times New Roman" w:cs="Times New Roman"/>
          <w:sz w:val="24"/>
          <w:szCs w:val="24"/>
        </w:rPr>
        <w:t xml:space="preserve"> asumsi klasik yang harus dilakukan pada regresi linear </w:t>
      </w:r>
      <w:r>
        <w:rPr>
          <w:rFonts w:ascii="Times New Roman" w:hAnsi="Times New Roman" w:cs="Times New Roman"/>
          <w:sz w:val="24"/>
          <w:szCs w:val="24"/>
        </w:rPr>
        <w:t xml:space="preserve">(Ghazali, 2016). </w:t>
      </w:r>
    </w:p>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Heteroskedasitas Tujuannya adalah “untuk mengetahui adanya penyimpangan dari syarat-syarat  asumsi klasik pada model regresi, dimana dalam model regresi harus terepenuhi syarat tidak terjadi heteroskedasitas, uji heteroskedasitas pada penelitian ini menggunakan </w:t>
      </w:r>
      <w:r>
        <w:rPr>
          <w:rFonts w:ascii="Times New Roman" w:hAnsi="Times New Roman" w:cs="Times New Roman"/>
          <w:i/>
          <w:sz w:val="24"/>
          <w:szCs w:val="24"/>
        </w:rPr>
        <w:t>Uji glejser</w:t>
      </w:r>
      <w:r>
        <w:rPr>
          <w:rFonts w:ascii="Times New Roman" w:hAnsi="Times New Roman" w:cs="Times New Roman"/>
          <w:sz w:val="24"/>
          <w:szCs w:val="24"/>
        </w:rPr>
        <w:t xml:space="preserve">, </w:t>
      </w:r>
      <w:r>
        <w:rPr>
          <w:rFonts w:ascii="Times New Roman" w:hAnsi="Times New Roman" w:cs="Times New Roman"/>
          <w:i/>
          <w:sz w:val="24"/>
          <w:szCs w:val="24"/>
        </w:rPr>
        <w:t>Uji glejser</w:t>
      </w:r>
      <w:r>
        <w:rPr>
          <w:rStyle w:val="25"/>
          <w:rFonts w:ascii="Times New Roman" w:hAnsi="Times New Roman" w:cs="Times New Roman"/>
          <w:sz w:val="24"/>
          <w:szCs w:val="24"/>
        </w:rPr>
        <w:t xml:space="preserve"> bertujuan untuk menguji apakah dalam model regresi terjadi ketidaksamaan variance dari residual satu pengamatan ke pengamatan yang lain. Model regresi yang baik maka tidak terjadi heteroskedastisitas.</w:t>
      </w:r>
      <w:r>
        <w:rPr>
          <w:rFonts w:ascii="Times New Roman" w:hAnsi="Times New Roman" w:cs="Times New Roman"/>
          <w:sz w:val="24"/>
          <w:szCs w:val="24"/>
        </w:rPr>
        <w:t xml:space="preserve">apabila nilai signifikan &gt; 0,05 maka tidak terjadi heteroskedasitas dan apabila nilai signifikan &lt; 0,05 maka terjadi heteroskedasitas </w:t>
      </w:r>
      <w:sdt>
        <w:sdtPr>
          <w:rPr>
            <w:rFonts w:ascii="Times New Roman" w:hAnsi="Times New Roman" w:cs="Times New Roman"/>
            <w:sz w:val="24"/>
            <w:szCs w:val="24"/>
          </w:rPr>
          <w:id w:val="260722487"/>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Dar18 \l 1033 </w:instrText>
          </w:r>
          <w:r>
            <w:rPr>
              <w:rFonts w:ascii="Times New Roman" w:hAnsi="Times New Roman" w:cs="Times New Roman"/>
              <w:sz w:val="24"/>
              <w:szCs w:val="24"/>
            </w:rPr>
            <w:fldChar w:fldCharType="separate"/>
          </w:r>
          <w:r>
            <w:rPr>
              <w:rFonts w:ascii="Times New Roman" w:hAnsi="Times New Roman" w:cs="Times New Roman"/>
              <w:sz w:val="24"/>
              <w:szCs w:val="24"/>
            </w:rPr>
            <w:t>(Darman &amp; Mooduto, 2018)</w:t>
          </w:r>
          <w:r>
            <w:rPr>
              <w:rFonts w:ascii="Times New Roman" w:hAnsi="Times New Roman" w:cs="Times New Roman"/>
              <w:sz w:val="24"/>
              <w:szCs w:val="24"/>
            </w:rPr>
            <w:fldChar w:fldCharType="end"/>
          </w:r>
        </w:sdtContent>
      </w:sdt>
      <w:r>
        <w:rPr>
          <w:rFonts w:ascii="Times New Roman" w:hAnsi="Times New Roman" w:cs="Times New Roman"/>
          <w:sz w:val="24"/>
          <w:szCs w:val="24"/>
        </w:rPr>
        <w:t>. Hasil uji tersebut dapat dilihat pada tabel 4.5 berikut ini.</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TABEL 4.5</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Uji Heteroskedasitas</w:t>
      </w:r>
    </w:p>
    <w:tbl>
      <w:tblPr>
        <w:tblStyle w:val="6"/>
        <w:tblW w:w="7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244"/>
        <w:gridCol w:w="943"/>
        <w:gridCol w:w="941"/>
        <w:gridCol w:w="1488"/>
        <w:gridCol w:w="943"/>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773" w:type="dxa"/>
            <w:gridSpan w:val="7"/>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Uji Glejser Coefficients</w:t>
            </w:r>
            <w:r>
              <w:rPr>
                <w:rFonts w:hint="eastAsia" w:ascii="Times New Roman" w:hAnsi="Times New Roman" w:eastAsia="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7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Model</w:t>
            </w:r>
          </w:p>
        </w:tc>
        <w:tc>
          <w:tcPr>
            <w:tcW w:w="3129" w:type="dxa"/>
            <w:gridSpan w:val="3"/>
            <w:vMerge w:val="restart"/>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488"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Standardized Coefficients</w:t>
            </w:r>
          </w:p>
        </w:tc>
        <w:tc>
          <w:tcPr>
            <w:tcW w:w="943"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t</w:t>
            </w:r>
          </w:p>
        </w:tc>
        <w:tc>
          <w:tcPr>
            <w:tcW w:w="939"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27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3129" w:type="dxa"/>
            <w:gridSpan w:val="3"/>
            <w:vMerge w:val="continue"/>
            <w:vAlign w:val="center"/>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488"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Beta</w:t>
            </w:r>
          </w:p>
        </w:tc>
        <w:tc>
          <w:tcPr>
            <w:tcW w:w="943"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939"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2" w:type="dxa"/>
            <w:shd w:val="clear" w:color="000000" w:fill="CCCCFF"/>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w:t>
            </w:r>
          </w:p>
        </w:tc>
        <w:tc>
          <w:tcPr>
            <w:tcW w:w="1245"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(Constant)</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0.563</w:t>
            </w:r>
          </w:p>
        </w:tc>
        <w:tc>
          <w:tcPr>
            <w:tcW w:w="940"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0.085</w:t>
            </w:r>
          </w:p>
        </w:tc>
        <w:tc>
          <w:tcPr>
            <w:tcW w:w="1488" w:type="dxa"/>
            <w:shd w:val="clear" w:color="auto" w:fill="auto"/>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6.630</w:t>
            </w:r>
          </w:p>
        </w:tc>
        <w:tc>
          <w:tcPr>
            <w:tcW w:w="939"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72"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245"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MBVE</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-0.005</w:t>
            </w:r>
          </w:p>
        </w:tc>
        <w:tc>
          <w:tcPr>
            <w:tcW w:w="940"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0.013</w:t>
            </w:r>
          </w:p>
        </w:tc>
        <w:tc>
          <w:tcPr>
            <w:tcW w:w="1488"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-0.029</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-0.385</w:t>
            </w:r>
          </w:p>
        </w:tc>
        <w:tc>
          <w:tcPr>
            <w:tcW w:w="939"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72"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245"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CAPBVA</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0.019</w:t>
            </w:r>
          </w:p>
        </w:tc>
        <w:tc>
          <w:tcPr>
            <w:tcW w:w="940"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0.011</w:t>
            </w:r>
          </w:p>
        </w:tc>
        <w:tc>
          <w:tcPr>
            <w:tcW w:w="1488"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0.173</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1.678</w:t>
            </w:r>
          </w:p>
        </w:tc>
        <w:tc>
          <w:tcPr>
            <w:tcW w:w="939"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272"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245"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CSR</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-0.018</w:t>
            </w:r>
          </w:p>
        </w:tc>
        <w:tc>
          <w:tcPr>
            <w:tcW w:w="940"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0.011</w:t>
            </w:r>
          </w:p>
        </w:tc>
        <w:tc>
          <w:tcPr>
            <w:tcW w:w="1488"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-0.121</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-1.689</w:t>
            </w:r>
          </w:p>
        </w:tc>
        <w:tc>
          <w:tcPr>
            <w:tcW w:w="939"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72"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p>
        </w:tc>
        <w:tc>
          <w:tcPr>
            <w:tcW w:w="1245" w:type="dxa"/>
            <w:shd w:val="clear" w:color="000000" w:fill="CCCCFF"/>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RB</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-0.024</w:t>
            </w:r>
          </w:p>
        </w:tc>
        <w:tc>
          <w:tcPr>
            <w:tcW w:w="940"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0.014</w:t>
            </w:r>
          </w:p>
        </w:tc>
        <w:tc>
          <w:tcPr>
            <w:tcW w:w="1488"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-0.172</w:t>
            </w:r>
          </w:p>
        </w:tc>
        <w:tc>
          <w:tcPr>
            <w:tcW w:w="9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-1.727</w:t>
            </w:r>
          </w:p>
        </w:tc>
        <w:tc>
          <w:tcPr>
            <w:tcW w:w="939"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0.086</w:t>
            </w:r>
          </w:p>
        </w:tc>
      </w:tr>
    </w:tbl>
    <w:p>
      <w:pPr>
        <w:autoSpaceDE w:val="0"/>
        <w:autoSpaceDN w:val="0"/>
        <w:adjustRightInd w:val="0"/>
        <w:spacing w:line="360" w:lineRule="auto"/>
        <w:ind w:firstLine="720"/>
        <w:rPr>
          <w:rFonts w:ascii="Times New Roman" w:hAnsi="Times New Roman" w:eastAsia="Calibri" w:cs="Times New Roman"/>
          <w:sz w:val="24"/>
          <w:szCs w:val="24"/>
        </w:rPr>
      </w:pPr>
      <w:r>
        <w:rPr>
          <w:rFonts w:ascii="Times New Roman" w:hAnsi="Times New Roman" w:eastAsia="Calibri" w:cs="Times New Roman"/>
          <w:color w:val="010205"/>
          <w:sz w:val="24"/>
          <w:szCs w:val="24"/>
        </w:rPr>
        <w:t>Sumber : Hasil Pengolahan SPSS 26</w:t>
      </w:r>
    </w:p>
    <w:p>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Hasil pengujian tabel 4.5 menunjukkan bahwa tidak  adanya hubungan yang signifikan antara seluruh variabel indepen terhadap nilai absolute residual (Res2) yaitu MBVE (0,700 &gt; 0,05), CAPBVA ( 0,095 &gt; 0,05 ), CSR (0,093 &gt; 0,05) dan RISIKO BISNIS ( 0,086 &gt; 0,05). Sehingga uji heteroskedasitas dalam penelitian ini dapat disimpulkan bahwa tidak terdapat heteroskedasitas.</w:t>
      </w:r>
    </w:p>
    <w:p>
      <w:pPr>
        <w:autoSpaceDE w:val="0"/>
        <w:autoSpaceDN w:val="0"/>
        <w:adjustRightInd w:val="0"/>
        <w:ind w:firstLine="0"/>
        <w:rPr>
          <w:rFonts w:ascii="Times New Roman" w:hAnsi="Times New Roman" w:cs="Times New Roman"/>
          <w:b/>
          <w:sz w:val="24"/>
          <w:szCs w:val="24"/>
        </w:rPr>
      </w:pPr>
      <w:r>
        <w:rPr>
          <w:rFonts w:ascii="Times New Roman" w:hAnsi="Times New Roman" w:cs="Times New Roman"/>
          <w:b/>
          <w:sz w:val="24"/>
          <w:szCs w:val="24"/>
        </w:rPr>
        <w:t>4.4 UJI REGRESI LINIER BERGANDA</w:t>
      </w:r>
    </w:p>
    <w:p>
      <w:pPr>
        <w:autoSpaceDE w:val="0"/>
        <w:autoSpaceDN w:val="0"/>
        <w:adjustRightInd w:val="0"/>
        <w:ind w:firstLine="720"/>
        <w:rPr>
          <w:rFonts w:ascii="Times New Roman" w:hAnsi="Times New Roman" w:eastAsia="Times New Roman"/>
          <w:sz w:val="24"/>
          <w:szCs w:val="24"/>
          <w:lang w:val="en-GB"/>
        </w:rPr>
      </w:pPr>
      <w:r>
        <w:rPr>
          <w:rFonts w:ascii="Times New Roman" w:hAnsi="Times New Roman" w:cs="Times New Roman"/>
          <w:sz w:val="24"/>
          <w:szCs w:val="24"/>
          <w:lang w:eastAsia="zh-TW"/>
        </w:rPr>
        <w:pict>
          <v:shape id="_x0000_s1148" o:spid="_x0000_s1148" o:spt="202" type="#_x0000_t202" style="position:absolute;left:0pt;margin-left:3.05pt;margin-top:123.55pt;height:58.6pt;width:385pt;z-index:251694080;mso-width-relative:margin;mso-height-relative:margin;" coordsize="21600,21600">
            <v:path/>
            <v:fill focussize="0,0"/>
            <v:stroke joinstyle="miter"/>
            <v:imagedata o:title=""/>
            <o:lock v:ext="edit"/>
            <v:textbox>
              <w:txbxContent>
                <w:p>
                  <w:pPr>
                    <w:ind w:left="720" w:firstLine="0"/>
                    <w:rPr>
                      <w:rFonts w:ascii="Times New Roman" w:hAnsi="Times New Roman" w:cs="Times New Roman"/>
                      <w:sz w:val="28"/>
                      <w:szCs w:val="28"/>
                    </w:rPr>
                  </w:pPr>
                  <w:r>
                    <w:rPr>
                      <w:rFonts w:ascii="Times New Roman" w:hAnsi="Times New Roman" w:cs="Times New Roman"/>
                      <w:sz w:val="28"/>
                      <w:szCs w:val="28"/>
                    </w:rPr>
                    <w:t>Y= a + b₁ₓ₁ + b₂ₓ₂ + b₃ₓ₃ + b₄ₓ₄ + ɛ</w:t>
                  </w:r>
                </w:p>
                <w:p>
                  <w:pPr>
                    <w:autoSpaceDE w:val="0"/>
                    <w:autoSpaceDN w:val="0"/>
                    <w:adjustRightInd w:val="0"/>
                    <w:ind w:firstLine="720"/>
                    <w:rPr>
                      <w:rFonts w:ascii="Times New Roman" w:hAnsi="Times New Roman" w:eastAsia="Calibri" w:cs="Times New Roman"/>
                      <w:sz w:val="24"/>
                      <w:szCs w:val="24"/>
                    </w:rPr>
                  </w:pPr>
                  <w:r>
                    <w:rPr>
                      <w:rFonts w:ascii="Times New Roman" w:hAnsi="Times New Roman" w:eastAsia="Calibri" w:cs="Times New Roman"/>
                      <w:sz w:val="24"/>
                      <w:szCs w:val="24"/>
                    </w:rPr>
                    <w:t xml:space="preserve">Y = </w:t>
                  </w:r>
                  <w:r>
                    <w:rPr>
                      <w:rFonts w:ascii="Times New Roman" w:hAnsi="Times New Roman"/>
                      <w:sz w:val="24"/>
                      <w:szCs w:val="24"/>
                    </w:rPr>
                    <w:t>-0.176</w:t>
                  </w:r>
                  <w:r>
                    <w:rPr>
                      <w:rFonts w:ascii="Times New Roman" w:hAnsi="Times New Roman" w:eastAsia="Calibri" w:cs="Times New Roman"/>
                      <w:sz w:val="24"/>
                      <w:szCs w:val="24"/>
                    </w:rPr>
                    <w:t xml:space="preserve"> </w:t>
                  </w:r>
                  <w:r>
                    <w:rPr>
                      <w:rFonts w:ascii="Times New Roman" w:hAnsi="Times New Roman"/>
                      <w:sz w:val="24"/>
                      <w:szCs w:val="24"/>
                    </w:rPr>
                    <w:t>+ 0,055</w:t>
                  </w:r>
                  <w:r>
                    <w:rPr>
                      <w:rFonts w:ascii="Times New Roman" w:hAnsi="Times New Roman" w:eastAsia="Calibri" w:cs="Times New Roman"/>
                      <w:sz w:val="24"/>
                      <w:szCs w:val="24"/>
                    </w:rPr>
                    <w:t xml:space="preserve">X1 </w:t>
                  </w:r>
                  <w:r>
                    <w:rPr>
                      <w:rFonts w:ascii="Times New Roman" w:hAnsi="Times New Roman"/>
                      <w:sz w:val="24"/>
                      <w:szCs w:val="24"/>
                    </w:rPr>
                    <w:t>– 0,021X2 – 0,038</w:t>
                  </w:r>
                  <w:r>
                    <w:rPr>
                      <w:rFonts w:ascii="Times New Roman" w:hAnsi="Times New Roman" w:eastAsia="Calibri" w:cs="Times New Roman"/>
                      <w:sz w:val="24"/>
                      <w:szCs w:val="24"/>
                    </w:rPr>
                    <w:t xml:space="preserve">2X3 </w:t>
                  </w:r>
                  <w:r>
                    <w:rPr>
                      <w:rFonts w:ascii="Times New Roman" w:hAnsi="Times New Roman"/>
                      <w:sz w:val="24"/>
                      <w:szCs w:val="24"/>
                    </w:rPr>
                    <w:t>+0,012X4 + 0,955</w:t>
                  </w:r>
                  <w:r>
                    <w:rPr>
                      <w:rFonts w:ascii="Times New Roman" w:hAnsi="Times New Roman" w:cs="Times New Roman"/>
                      <w:sz w:val="28"/>
                      <w:szCs w:val="28"/>
                    </w:rPr>
                    <w:t xml:space="preserve"> ɛ</w:t>
                  </w:r>
                </w:p>
                <w:p>
                  <w:pPr>
                    <w:rPr>
                      <w:rFonts w:ascii="Times New Roman" w:hAnsi="Times New Roman" w:cs="Times New Roman"/>
                      <w:sz w:val="28"/>
                      <w:szCs w:val="28"/>
                    </w:rPr>
                  </w:pPr>
                </w:p>
              </w:txbxContent>
            </v:textbox>
          </v:shape>
        </w:pict>
      </w:r>
      <w:r>
        <w:rPr>
          <w:rFonts w:ascii="Times New Roman" w:hAnsi="Times New Roman" w:eastAsia="Times New Roman"/>
          <w:sz w:val="24"/>
          <w:szCs w:val="24"/>
          <w:lang w:val="en-GB"/>
        </w:rPr>
        <w:t xml:space="preserve">Pada bagian ini dilakukan analisis data mengenai pengaruh MBVE, CAPBVA, CSR, RISIKO BISNIS secara parsial terhadap NILAI PERUSAHAAN Berdasarkan data hasil penelitian tersebut maka secara lengkap hasil Analisa Regresi </w:t>
      </w:r>
      <w:r>
        <w:rPr>
          <w:rFonts w:ascii="Times New Roman" w:hAnsi="Times New Roman" w:eastAsia="Times New Roman"/>
          <w:i/>
          <w:sz w:val="24"/>
          <w:szCs w:val="24"/>
          <w:lang w:val="en-GB"/>
        </w:rPr>
        <w:t>Linier</w:t>
      </w:r>
      <w:r>
        <w:rPr>
          <w:rFonts w:ascii="Times New Roman" w:hAnsi="Times New Roman" w:eastAsia="Times New Roman"/>
          <w:sz w:val="24"/>
          <w:szCs w:val="24"/>
          <w:lang w:val="en-GB"/>
        </w:rPr>
        <w:t xml:space="preserve"> Berganda yang telah dilakukan dapat dilihat pada tabel dibawah ini.</w:t>
      </w:r>
    </w:p>
    <w:p>
      <w:pPr>
        <w:autoSpaceDE w:val="0"/>
        <w:autoSpaceDN w:val="0"/>
        <w:adjustRightInd w:val="0"/>
        <w:ind w:firstLine="720"/>
        <w:rPr>
          <w:rFonts w:ascii="Times New Roman" w:hAnsi="Times New Roman" w:cs="Times New Roman"/>
          <w:sz w:val="24"/>
          <w:szCs w:val="24"/>
        </w:rPr>
      </w:pPr>
    </w:p>
    <w:p>
      <w:pPr>
        <w:autoSpaceDE w:val="0"/>
        <w:autoSpaceDN w:val="0"/>
        <w:adjustRightInd w:val="0"/>
        <w:ind w:firstLine="0"/>
        <w:rPr>
          <w:rFonts w:ascii="Times New Roman" w:hAnsi="Times New Roman" w:cs="Times New Roman"/>
          <w:sz w:val="24"/>
          <w:szCs w:val="24"/>
        </w:rPr>
      </w:pPr>
    </w:p>
    <w:p>
      <w:pPr>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Keterangan :</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r>
      <w:r>
        <w:rPr>
          <w:rFonts w:ascii="Times New Roman" w:hAnsi="Times New Roman" w:cs="Times New Roman"/>
          <w:sz w:val="24"/>
          <w:szCs w:val="24"/>
        </w:rPr>
        <w:t>= Dependent Variabel</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 Konstanta</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B₁ₓ₁</w:t>
      </w:r>
      <w:r>
        <w:rPr>
          <w:rFonts w:ascii="Times New Roman" w:hAnsi="Times New Roman" w:cs="Times New Roman"/>
          <w:sz w:val="24"/>
          <w:szCs w:val="24"/>
        </w:rPr>
        <w:tab/>
      </w:r>
      <w:r>
        <w:rPr>
          <w:rFonts w:ascii="Times New Roman" w:hAnsi="Times New Roman" w:cs="Times New Roman"/>
          <w:sz w:val="24"/>
          <w:szCs w:val="24"/>
        </w:rPr>
        <w:t>= Koefisien Regresi Mbve</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B₂ₓ₂ </w:t>
      </w:r>
      <w:r>
        <w:rPr>
          <w:rFonts w:ascii="Times New Roman" w:hAnsi="Times New Roman" w:cs="Times New Roman"/>
          <w:sz w:val="24"/>
          <w:szCs w:val="24"/>
        </w:rPr>
        <w:tab/>
      </w:r>
      <w:r>
        <w:rPr>
          <w:rFonts w:ascii="Times New Roman" w:hAnsi="Times New Roman" w:cs="Times New Roman"/>
          <w:sz w:val="24"/>
          <w:szCs w:val="24"/>
        </w:rPr>
        <w:t>= Koefisien Regresi Capbva</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B₃ₓ₃ </w:t>
      </w:r>
      <w:r>
        <w:rPr>
          <w:rFonts w:ascii="Times New Roman" w:hAnsi="Times New Roman" w:cs="Times New Roman"/>
          <w:sz w:val="24"/>
          <w:szCs w:val="24"/>
        </w:rPr>
        <w:tab/>
      </w:r>
      <w:r>
        <w:rPr>
          <w:rFonts w:ascii="Times New Roman" w:hAnsi="Times New Roman" w:cs="Times New Roman"/>
          <w:sz w:val="24"/>
          <w:szCs w:val="24"/>
        </w:rPr>
        <w:t>= Koefisien Regresi Csr</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B₄ₓ₄</w:t>
      </w:r>
      <w:r>
        <w:rPr>
          <w:rFonts w:ascii="Times New Roman" w:hAnsi="Times New Roman" w:cs="Times New Roman"/>
          <w:sz w:val="24"/>
          <w:szCs w:val="24"/>
        </w:rPr>
        <w:tab/>
      </w:r>
      <w:r>
        <w:rPr>
          <w:rFonts w:ascii="Times New Roman" w:hAnsi="Times New Roman" w:cs="Times New Roman"/>
          <w:sz w:val="24"/>
          <w:szCs w:val="24"/>
        </w:rPr>
        <w:t>= Koefisien Regresi Risiko Bisnis</w:t>
      </w:r>
    </w:p>
    <w:p>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rPr>
        <w:t>Ɛ</w:t>
      </w:r>
      <w:r>
        <w:rPr>
          <w:rFonts w:ascii="Times New Roman" w:hAnsi="Times New Roman" w:cs="Times New Roman"/>
          <w:sz w:val="24"/>
          <w:szCs w:val="24"/>
        </w:rPr>
        <w:tab/>
      </w:r>
      <w:r>
        <w:rPr>
          <w:rFonts w:ascii="Times New Roman" w:hAnsi="Times New Roman" w:cs="Times New Roman"/>
          <w:sz w:val="24"/>
          <w:szCs w:val="24"/>
        </w:rPr>
        <w:t>= Residual/ Error</w:t>
      </w:r>
    </w:p>
    <w:p>
      <w:pPr>
        <w:autoSpaceDE w:val="0"/>
        <w:autoSpaceDN w:val="0"/>
        <w:adjustRightInd w:val="0"/>
        <w:spacing w:line="240" w:lineRule="auto"/>
        <w:ind w:firstLine="0"/>
        <w:rPr>
          <w:rFonts w:ascii="Times New Roman" w:hAnsi="Times New Roman" w:cs="Times New Roman"/>
          <w:sz w:val="24"/>
          <w:szCs w:val="24"/>
        </w:rPr>
      </w:pP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TABEL 4.6</w:t>
      </w:r>
    </w:p>
    <w:p>
      <w:pPr>
        <w:autoSpaceDE w:val="0"/>
        <w:autoSpaceDN w:val="0"/>
        <w:adjustRightInd w:val="0"/>
        <w:ind w:firstLine="0"/>
        <w:jc w:val="center"/>
        <w:rPr>
          <w:rFonts w:ascii="Times New Roman" w:hAnsi="Times New Roman" w:cs="Times New Roman"/>
          <w:b/>
          <w:sz w:val="24"/>
          <w:szCs w:val="24"/>
        </w:rPr>
      </w:pPr>
      <w:r>
        <w:rPr>
          <w:rFonts w:ascii="Times New Roman" w:hAnsi="Times New Roman" w:cs="Times New Roman"/>
          <w:b/>
          <w:sz w:val="24"/>
          <w:szCs w:val="24"/>
        </w:rPr>
        <w:t>Hasil Uji Regresi</w:t>
      </w:r>
    </w:p>
    <w:tbl>
      <w:tblPr>
        <w:tblStyle w:val="6"/>
        <w:tblW w:w="7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1307"/>
        <w:gridCol w:w="1124"/>
        <w:gridCol w:w="1128"/>
        <w:gridCol w:w="1242"/>
        <w:gridCol w:w="86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 w:hRule="atLeast"/>
          <w:jc w:val="center"/>
        </w:trPr>
        <w:tc>
          <w:tcPr>
            <w:tcW w:w="7156" w:type="dxa"/>
            <w:gridSpan w:val="7"/>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sz w:val="24"/>
                <w:szCs w:val="24"/>
              </w:rPr>
            </w:pPr>
            <w:r>
              <w:rPr>
                <w:rFonts w:hint="eastAsia" w:ascii="Times New Roman" w:hAnsi="Times New Roman" w:cs="Times New Roman"/>
                <w:b/>
                <w:bCs/>
                <w:sz w:val="24"/>
                <w:szCs w:val="24"/>
              </w:rPr>
              <w:t>Coefficients</w:t>
            </w:r>
            <w:r>
              <w:rPr>
                <w:rFonts w:hint="eastAsia" w:ascii="Times New Roman" w:hAnsi="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1927" w:type="dxa"/>
            <w:gridSpan w:val="2"/>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2252"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Unstandardized Coefficients</w:t>
            </w:r>
          </w:p>
        </w:tc>
        <w:tc>
          <w:tcPr>
            <w:tcW w:w="1242"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Standardized Coefficients</w:t>
            </w:r>
          </w:p>
        </w:tc>
        <w:tc>
          <w:tcPr>
            <w:tcW w:w="865"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w:t>
            </w:r>
          </w:p>
        </w:tc>
        <w:tc>
          <w:tcPr>
            <w:tcW w:w="870"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 w:hRule="atLeast"/>
          <w:jc w:val="center"/>
        </w:trPr>
        <w:tc>
          <w:tcPr>
            <w:tcW w:w="1927" w:type="dxa"/>
            <w:gridSpan w:val="2"/>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12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w:t>
            </w:r>
          </w:p>
        </w:tc>
        <w:tc>
          <w:tcPr>
            <w:tcW w:w="1127"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Std. Error</w:t>
            </w:r>
          </w:p>
        </w:tc>
        <w:tc>
          <w:tcPr>
            <w:tcW w:w="1242"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Beta</w:t>
            </w:r>
          </w:p>
        </w:tc>
        <w:tc>
          <w:tcPr>
            <w:tcW w:w="865"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70"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 w:hRule="atLeast"/>
          <w:jc w:val="center"/>
        </w:trPr>
        <w:tc>
          <w:tcPr>
            <w:tcW w:w="620"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307"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(Constant)</w:t>
            </w:r>
          </w:p>
        </w:tc>
        <w:tc>
          <w:tcPr>
            <w:tcW w:w="112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-.176</w:t>
            </w:r>
          </w:p>
        </w:tc>
        <w:tc>
          <w:tcPr>
            <w:tcW w:w="1127"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.151</w:t>
            </w:r>
          </w:p>
        </w:tc>
        <w:tc>
          <w:tcPr>
            <w:tcW w:w="1242"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-1.171</w:t>
            </w:r>
          </w:p>
        </w:tc>
        <w:tc>
          <w:tcPr>
            <w:tcW w:w="87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 w:hRule="atLeast"/>
          <w:jc w:val="center"/>
        </w:trPr>
        <w:tc>
          <w:tcPr>
            <w:tcW w:w="62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07"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MBVE</w:t>
            </w:r>
          </w:p>
        </w:tc>
        <w:tc>
          <w:tcPr>
            <w:tcW w:w="112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.055</w:t>
            </w:r>
          </w:p>
        </w:tc>
        <w:tc>
          <w:tcPr>
            <w:tcW w:w="1127"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.022</w:t>
            </w:r>
          </w:p>
        </w:tc>
        <w:tc>
          <w:tcPr>
            <w:tcW w:w="124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.179</w:t>
            </w:r>
          </w:p>
        </w:tc>
        <w:tc>
          <w:tcPr>
            <w:tcW w:w="8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2.428</w:t>
            </w:r>
          </w:p>
        </w:tc>
        <w:tc>
          <w:tcPr>
            <w:tcW w:w="87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 w:hRule="atLeast"/>
          <w:jc w:val="center"/>
        </w:trPr>
        <w:tc>
          <w:tcPr>
            <w:tcW w:w="62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07"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CAPBVA</w:t>
            </w:r>
          </w:p>
        </w:tc>
        <w:tc>
          <w:tcPr>
            <w:tcW w:w="112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-.021</w:t>
            </w:r>
          </w:p>
        </w:tc>
        <w:tc>
          <w:tcPr>
            <w:tcW w:w="1127"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.020</w:t>
            </w:r>
          </w:p>
        </w:tc>
        <w:tc>
          <w:tcPr>
            <w:tcW w:w="124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-.104</w:t>
            </w:r>
          </w:p>
        </w:tc>
        <w:tc>
          <w:tcPr>
            <w:tcW w:w="8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-1.020</w:t>
            </w:r>
          </w:p>
        </w:tc>
        <w:tc>
          <w:tcPr>
            <w:tcW w:w="87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 w:hRule="atLeast"/>
          <w:jc w:val="center"/>
        </w:trPr>
        <w:tc>
          <w:tcPr>
            <w:tcW w:w="62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07"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CSR</w:t>
            </w:r>
          </w:p>
        </w:tc>
        <w:tc>
          <w:tcPr>
            <w:tcW w:w="112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-.038</w:t>
            </w:r>
          </w:p>
        </w:tc>
        <w:tc>
          <w:tcPr>
            <w:tcW w:w="1127"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.019</w:t>
            </w:r>
          </w:p>
        </w:tc>
        <w:tc>
          <w:tcPr>
            <w:tcW w:w="124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-.141</w:t>
            </w:r>
          </w:p>
        </w:tc>
        <w:tc>
          <w:tcPr>
            <w:tcW w:w="8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-1.999</w:t>
            </w:r>
          </w:p>
        </w:tc>
        <w:tc>
          <w:tcPr>
            <w:tcW w:w="87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9" w:hRule="atLeast"/>
          <w:jc w:val="center"/>
        </w:trPr>
        <w:tc>
          <w:tcPr>
            <w:tcW w:w="620"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07"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RISIKO BISNIS</w:t>
            </w:r>
          </w:p>
        </w:tc>
        <w:tc>
          <w:tcPr>
            <w:tcW w:w="112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.012</w:t>
            </w:r>
          </w:p>
        </w:tc>
        <w:tc>
          <w:tcPr>
            <w:tcW w:w="1127"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.024</w:t>
            </w:r>
          </w:p>
        </w:tc>
        <w:tc>
          <w:tcPr>
            <w:tcW w:w="124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.049</w:t>
            </w:r>
          </w:p>
        </w:tc>
        <w:tc>
          <w:tcPr>
            <w:tcW w:w="8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.496</w:t>
            </w:r>
          </w:p>
        </w:tc>
        <w:tc>
          <w:tcPr>
            <w:tcW w:w="87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.621</w:t>
            </w:r>
          </w:p>
        </w:tc>
      </w:tr>
    </w:tbl>
    <w:p>
      <w:pPr>
        <w:autoSpaceDE w:val="0"/>
        <w:autoSpaceDN w:val="0"/>
        <w:adjustRightInd w:val="0"/>
        <w:spacing w:line="360" w:lineRule="auto"/>
        <w:ind w:firstLine="0"/>
        <w:rPr>
          <w:rFonts w:ascii="Times New Roman" w:hAnsi="Times New Roman" w:eastAsia="Calibri" w:cs="Times New Roman"/>
          <w:sz w:val="24"/>
          <w:szCs w:val="24"/>
        </w:rPr>
      </w:pPr>
      <w:r>
        <w:rPr>
          <w:rFonts w:ascii="Times New Roman" w:hAnsi="Times New Roman" w:eastAsia="Calibri" w:cs="Times New Roman"/>
          <w:color w:val="010205"/>
          <w:sz w:val="24"/>
          <w:szCs w:val="24"/>
        </w:rPr>
        <w:t>Sumber : Hasil Pengolahan SPSS 26</w:t>
      </w:r>
    </w:p>
    <w:p>
      <w:pPr>
        <w:autoSpaceDE w:val="0"/>
        <w:autoSpaceDN w:val="0"/>
        <w:adjustRightInd w:val="0"/>
        <w:ind w:firstLine="720"/>
        <w:rPr>
          <w:rFonts w:ascii="Times New Roman" w:hAnsi="Times New Roman"/>
          <w:sz w:val="24"/>
          <w:szCs w:val="24"/>
        </w:rPr>
      </w:pPr>
      <w:r>
        <w:rPr>
          <w:rFonts w:ascii="Times New Roman" w:hAnsi="Times New Roman"/>
          <w:sz w:val="24"/>
          <w:szCs w:val="24"/>
        </w:rPr>
        <w:t>Dari persamaan regresi linier berganda di atas maka interpretasnya sebagai berikut :</w:t>
      </w:r>
    </w:p>
    <w:p>
      <w:pPr>
        <w:autoSpaceDE w:val="0"/>
        <w:autoSpaceDN w:val="0"/>
        <w:adjustRightInd w:val="0"/>
        <w:ind w:firstLine="720"/>
        <w:rPr>
          <w:rFonts w:ascii="Times New Roman" w:hAnsi="Times New Roman" w:cs="Times New Roman"/>
          <w:sz w:val="24"/>
          <w:szCs w:val="24"/>
        </w:rPr>
      </w:pPr>
      <w:r>
        <w:rPr>
          <w:rStyle w:val="31"/>
          <w:rFonts w:ascii="Times New Roman" w:hAnsi="Times New Roman" w:cs="Times New Roman"/>
          <w:sz w:val="24"/>
          <w:szCs w:val="24"/>
        </w:rPr>
        <w:t xml:space="preserve">Konstanta (α) sebesar </w:t>
      </w:r>
      <w:r>
        <w:rPr>
          <w:rFonts w:ascii="Times New Roman" w:hAnsi="Times New Roman" w:cs="Times New Roman"/>
          <w:sz w:val="24"/>
          <w:szCs w:val="24"/>
        </w:rPr>
        <w:t xml:space="preserve">-0.176. </w:t>
      </w:r>
      <w:r>
        <w:rPr>
          <w:rStyle w:val="31"/>
          <w:rFonts w:ascii="Times New Roman" w:hAnsi="Times New Roman" w:cs="Times New Roman"/>
          <w:sz w:val="24"/>
          <w:szCs w:val="24"/>
        </w:rPr>
        <w:t xml:space="preserve">artinya jika variabel </w:t>
      </w:r>
      <w:r>
        <w:rPr>
          <w:rFonts w:ascii="Times New Roman" w:hAnsi="Times New Roman" w:cs="Times New Roman"/>
          <w:i/>
          <w:sz w:val="24"/>
          <w:szCs w:val="24"/>
        </w:rPr>
        <w:t xml:space="preserve">market to book value equity,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w:t>
      </w:r>
      <w:r>
        <w:rPr>
          <w:rStyle w:val="25"/>
          <w:rFonts w:ascii="Times New Roman" w:hAnsi="Times New Roman" w:cs="Times New Roman"/>
          <w:i/>
          <w:sz w:val="24"/>
          <w:szCs w:val="24"/>
        </w:rPr>
        <w:t xml:space="preserve">corrporate social responbility, </w:t>
      </w:r>
      <w:r>
        <w:rPr>
          <w:rStyle w:val="25"/>
          <w:rFonts w:ascii="Times New Roman" w:hAnsi="Times New Roman" w:cs="Times New Roman"/>
          <w:sz w:val="24"/>
          <w:szCs w:val="24"/>
        </w:rPr>
        <w:t>dan risiko</w:t>
      </w:r>
      <w:r>
        <w:rPr>
          <w:rFonts w:ascii="Times New Roman" w:hAnsi="Times New Roman" w:cs="Times New Roman"/>
          <w:i/>
          <w:sz w:val="24"/>
          <w:szCs w:val="24"/>
        </w:rPr>
        <w:t xml:space="preserve"> </w:t>
      </w:r>
      <w:r>
        <w:rPr>
          <w:rFonts w:ascii="Times New Roman" w:hAnsi="Times New Roman" w:cs="Times New Roman"/>
          <w:sz w:val="24"/>
          <w:szCs w:val="24"/>
        </w:rPr>
        <w:t>bisnis</w:t>
      </w:r>
      <w:r>
        <w:rPr>
          <w:rFonts w:ascii="Times New Roman" w:hAnsi="Times New Roman" w:cs="Times New Roman"/>
          <w:i/>
          <w:sz w:val="24"/>
          <w:szCs w:val="24"/>
        </w:rPr>
        <w:t xml:space="preserve"> </w:t>
      </w:r>
      <w:r>
        <w:rPr>
          <w:rStyle w:val="31"/>
          <w:rFonts w:ascii="Times New Roman" w:hAnsi="Times New Roman" w:cs="Times New Roman"/>
          <w:sz w:val="24"/>
          <w:szCs w:val="24"/>
        </w:rPr>
        <w:t xml:space="preserve">memiliki nilai sebesar 0, maka tingkat nilainya </w:t>
      </w:r>
      <w:r>
        <w:rPr>
          <w:rFonts w:ascii="Times New Roman" w:hAnsi="Times New Roman" w:cs="Times New Roman"/>
          <w:sz w:val="24"/>
          <w:szCs w:val="24"/>
        </w:rPr>
        <w:t>-0.176</w:t>
      </w:r>
      <w:r>
        <w:rPr>
          <w:rStyle w:val="31"/>
          <w:rFonts w:ascii="Times New Roman" w:hAnsi="Times New Roman" w:cs="Times New Roman"/>
          <w:sz w:val="24"/>
          <w:szCs w:val="24"/>
        </w:rPr>
        <w:t xml:space="preserve">. Konstanta adalah nilai yang tetap walaupun variabel lain nilainya berubah. Konstanta negatif tidaklah menjadi persoalan selama nilai varian independen tidak nol. Karena dasarnya regresi digunakan untuk memprediksi nilai dependen berdasarkan nilai perubahan independen, maka seharusnya yang menjadi perhatian adalah nilai independen bukan nilai konstanta tersebut </w:t>
      </w:r>
      <w:sdt>
        <w:sdtPr>
          <w:rPr>
            <w:rStyle w:val="31"/>
            <w:rFonts w:ascii="Times New Roman" w:hAnsi="Times New Roman" w:cs="Times New Roman"/>
            <w:sz w:val="24"/>
            <w:szCs w:val="24"/>
          </w:rPr>
          <w:id w:val="558591428"/>
        </w:sdtPr>
        <w:sdtEndPr>
          <w:rPr>
            <w:rStyle w:val="31"/>
            <w:rFonts w:ascii="Times New Roman" w:hAnsi="Times New Roman" w:cs="Times New Roman"/>
            <w:sz w:val="24"/>
            <w:szCs w:val="24"/>
          </w:rPr>
        </w:sdtEndPr>
        <w:sdtContent>
          <w:r>
            <w:rPr>
              <w:rStyle w:val="31"/>
              <w:rFonts w:ascii="Times New Roman" w:hAnsi="Times New Roman" w:cs="Times New Roman"/>
              <w:sz w:val="24"/>
              <w:szCs w:val="24"/>
            </w:rPr>
            <w:fldChar w:fldCharType="begin"/>
          </w:r>
          <w:r>
            <w:rPr>
              <w:rStyle w:val="31"/>
              <w:rFonts w:ascii="Times New Roman" w:hAnsi="Times New Roman" w:cs="Times New Roman"/>
              <w:sz w:val="24"/>
              <w:szCs w:val="24"/>
            </w:rPr>
            <w:instrText xml:space="preserve"> CITATION Yul201 \l 1033 </w:instrText>
          </w:r>
          <w:r>
            <w:rPr>
              <w:rStyle w:val="31"/>
              <w:rFonts w:ascii="Times New Roman" w:hAnsi="Times New Roman" w:cs="Times New Roman"/>
              <w:sz w:val="24"/>
              <w:szCs w:val="24"/>
            </w:rPr>
            <w:fldChar w:fldCharType="separate"/>
          </w:r>
          <w:r>
            <w:rPr>
              <w:rFonts w:ascii="Times New Roman" w:hAnsi="Times New Roman" w:cs="Times New Roman"/>
              <w:sz w:val="24"/>
              <w:szCs w:val="24"/>
            </w:rPr>
            <w:t>(Yulia, 2020)</w:t>
          </w:r>
          <w:r>
            <w:rPr>
              <w:rStyle w:val="31"/>
              <w:rFonts w:ascii="Times New Roman" w:hAnsi="Times New Roman" w:cs="Times New Roman"/>
              <w:sz w:val="24"/>
              <w:szCs w:val="24"/>
            </w:rPr>
            <w:fldChar w:fldCharType="end"/>
          </w:r>
        </w:sdtContent>
      </w:sdt>
      <w:r>
        <w:rPr>
          <w:rStyle w:val="31"/>
          <w:rFonts w:ascii="Times New Roman" w:hAnsi="Times New Roman" w:cs="Times New Roman"/>
          <w:sz w:val="24"/>
          <w:szCs w:val="24"/>
        </w:rPr>
        <w:t>.</w:t>
      </w:r>
    </w:p>
    <w:p>
      <w:pPr>
        <w:autoSpaceDE w:val="0"/>
        <w:autoSpaceDN w:val="0"/>
        <w:adjustRightInd w:val="0"/>
        <w:ind w:firstLine="720"/>
        <w:rPr>
          <w:rFonts w:ascii="Times New Roman" w:hAnsi="Times New Roman" w:cs="Times New Roman"/>
          <w:sz w:val="24"/>
          <w:szCs w:val="24"/>
        </w:rPr>
      </w:pPr>
      <w:r>
        <w:rPr>
          <w:rFonts w:ascii="Times New Roman" w:hAnsi="Times New Roman"/>
          <w:sz w:val="24"/>
          <w:szCs w:val="24"/>
        </w:rPr>
        <w:t>Pada nilai koefisien b</w:t>
      </w:r>
      <w:r>
        <w:rPr>
          <w:rFonts w:ascii="Times New Roman" w:hAnsi="Times New Roman"/>
          <w:sz w:val="24"/>
          <w:szCs w:val="24"/>
          <w:vertAlign w:val="subscript"/>
        </w:rPr>
        <w:t>1</w:t>
      </w:r>
      <w:r>
        <w:rPr>
          <w:rFonts w:ascii="Times New Roman" w:hAnsi="Times New Roman"/>
          <w:sz w:val="24"/>
          <w:szCs w:val="24"/>
        </w:rPr>
        <w:t xml:space="preserve"> sebesar 0,055 merupakan besarnya kontribusi variabel </w:t>
      </w:r>
      <w:r>
        <w:rPr>
          <w:rFonts w:ascii="Times New Roman" w:hAnsi="Times New Roman"/>
          <w:i/>
          <w:sz w:val="24"/>
          <w:szCs w:val="24"/>
        </w:rPr>
        <w:t xml:space="preserve">market to book value equity (MBVE)  </w:t>
      </w:r>
      <w:r>
        <w:rPr>
          <w:rFonts w:ascii="Times New Roman" w:hAnsi="Times New Roman"/>
          <w:sz w:val="24"/>
          <w:szCs w:val="24"/>
        </w:rPr>
        <w:t xml:space="preserve">yang mempengaruhi </w:t>
      </w:r>
      <w:r>
        <w:rPr>
          <w:rFonts w:ascii="Times New Roman" w:hAnsi="Times New Roman"/>
          <w:i/>
          <w:sz w:val="24"/>
          <w:szCs w:val="24"/>
        </w:rPr>
        <w:t xml:space="preserve">Price Book Value (PBV). </w:t>
      </w:r>
      <w:r>
        <w:rPr>
          <w:rFonts w:ascii="Times New Roman" w:hAnsi="Times New Roman"/>
          <w:sz w:val="24"/>
          <w:szCs w:val="24"/>
        </w:rPr>
        <w:t>Koefisien regresi b</w:t>
      </w:r>
      <w:r>
        <w:rPr>
          <w:rFonts w:ascii="Times New Roman" w:hAnsi="Times New Roman"/>
          <w:sz w:val="24"/>
          <w:szCs w:val="24"/>
          <w:vertAlign w:val="subscript"/>
        </w:rPr>
        <w:t>1</w:t>
      </w:r>
      <w:r>
        <w:rPr>
          <w:rFonts w:ascii="Times New Roman" w:hAnsi="Times New Roman"/>
          <w:sz w:val="24"/>
          <w:szCs w:val="24"/>
        </w:rPr>
        <w:t xml:space="preserve"> sebesar 0,055 dengan tanda positif. Jika variabel </w:t>
      </w:r>
      <w:r>
        <w:rPr>
          <w:rFonts w:ascii="Times New Roman" w:hAnsi="Times New Roman"/>
          <w:i/>
          <w:sz w:val="24"/>
          <w:szCs w:val="24"/>
        </w:rPr>
        <w:t xml:space="preserve">market to book value equity) </w:t>
      </w:r>
      <w:r>
        <w:rPr>
          <w:rFonts w:ascii="Times New Roman" w:hAnsi="Times New Roman"/>
          <w:sz w:val="24"/>
          <w:szCs w:val="24"/>
        </w:rPr>
        <w:t xml:space="preserve">mengalami kenaikan atau penurunan satu satuan maka </w:t>
      </w:r>
      <w:r>
        <w:rPr>
          <w:rFonts w:ascii="Times New Roman" w:hAnsi="Times New Roman"/>
          <w:i/>
          <w:sz w:val="24"/>
          <w:szCs w:val="24"/>
        </w:rPr>
        <w:t xml:space="preserve">Price Book Value (PBV) </w:t>
      </w:r>
      <w:r>
        <w:rPr>
          <w:rFonts w:ascii="Times New Roman" w:hAnsi="Times New Roman"/>
          <w:sz w:val="24"/>
          <w:szCs w:val="24"/>
        </w:rPr>
        <w:t>akan naik atau turun sebesar 0,055</w:t>
      </w:r>
    </w:p>
    <w:p>
      <w:pPr>
        <w:autoSpaceDE w:val="0"/>
        <w:autoSpaceDN w:val="0"/>
        <w:adjustRightInd w:val="0"/>
        <w:ind w:firstLine="567"/>
        <w:rPr>
          <w:rFonts w:ascii="Times New Roman" w:hAnsi="Times New Roman"/>
          <w:sz w:val="24"/>
          <w:szCs w:val="24"/>
        </w:rPr>
      </w:pPr>
      <w:r>
        <w:rPr>
          <w:rFonts w:ascii="Times New Roman" w:hAnsi="Times New Roman"/>
          <w:sz w:val="24"/>
          <w:szCs w:val="24"/>
        </w:rPr>
        <w:t>Pada nilai koefisien b</w:t>
      </w:r>
      <w:r>
        <w:rPr>
          <w:rFonts w:ascii="Times New Roman" w:hAnsi="Times New Roman"/>
          <w:sz w:val="24"/>
          <w:szCs w:val="24"/>
          <w:vertAlign w:val="subscript"/>
        </w:rPr>
        <w:t>2</w:t>
      </w:r>
      <w:r>
        <w:rPr>
          <w:rFonts w:ascii="Times New Roman" w:hAnsi="Times New Roman"/>
          <w:sz w:val="24"/>
          <w:szCs w:val="24"/>
        </w:rPr>
        <w:t xml:space="preserve"> sebesar </w:t>
      </w:r>
      <w:r>
        <w:rPr>
          <w:rFonts w:ascii="Times New Roman" w:hAnsi="Times New Roman" w:cs="Times New Roman"/>
          <w:color w:val="010205"/>
          <w:sz w:val="24"/>
          <w:szCs w:val="24"/>
        </w:rPr>
        <w:t xml:space="preserve">-0.021 </w:t>
      </w:r>
      <w:r>
        <w:rPr>
          <w:rFonts w:ascii="Times New Roman" w:hAnsi="Times New Roman"/>
          <w:sz w:val="24"/>
          <w:szCs w:val="24"/>
        </w:rPr>
        <w:t xml:space="preserve">merupakan besarnya kontribusi variabel </w:t>
      </w:r>
      <w:r>
        <w:rPr>
          <w:rStyle w:val="25"/>
          <w:rFonts w:ascii="Times New Roman" w:hAnsi="Times New Roman" w:cs="Times New Roman"/>
          <w:i/>
          <w:sz w:val="24"/>
          <w:szCs w:val="24"/>
        </w:rPr>
        <w:t>Capital Expenditure to Book Value of Asset</w:t>
      </w:r>
      <w:r>
        <w:rPr>
          <w:rStyle w:val="25"/>
        </w:rPr>
        <w:t xml:space="preserve">, </w:t>
      </w:r>
      <w:r>
        <w:rPr>
          <w:rFonts w:ascii="Times New Roman" w:hAnsi="Times New Roman"/>
          <w:sz w:val="24"/>
          <w:szCs w:val="24"/>
        </w:rPr>
        <w:t xml:space="preserve">yang mempengaruhi </w:t>
      </w:r>
      <w:r>
        <w:rPr>
          <w:rFonts w:ascii="Times New Roman" w:hAnsi="Times New Roman"/>
          <w:i/>
          <w:sz w:val="24"/>
          <w:szCs w:val="24"/>
        </w:rPr>
        <w:t xml:space="preserve">Price Book Value (PBV). </w:t>
      </w:r>
      <w:r>
        <w:rPr>
          <w:rFonts w:ascii="Times New Roman" w:hAnsi="Times New Roman"/>
          <w:sz w:val="24"/>
          <w:szCs w:val="24"/>
        </w:rPr>
        <w:t>Koefisien regresi b</w:t>
      </w:r>
      <w:r>
        <w:rPr>
          <w:rFonts w:ascii="Times New Roman" w:hAnsi="Times New Roman"/>
          <w:sz w:val="24"/>
          <w:szCs w:val="24"/>
          <w:vertAlign w:val="subscript"/>
        </w:rPr>
        <w:t>2</w:t>
      </w:r>
      <w:r>
        <w:rPr>
          <w:rFonts w:ascii="Times New Roman" w:hAnsi="Times New Roman"/>
          <w:sz w:val="24"/>
          <w:szCs w:val="24"/>
        </w:rPr>
        <w:t xml:space="preserve"> sebesar </w:t>
      </w:r>
      <w:r>
        <w:rPr>
          <w:rFonts w:ascii="Times New Roman" w:hAnsi="Times New Roman" w:cs="Times New Roman"/>
          <w:color w:val="010205"/>
          <w:sz w:val="24"/>
          <w:szCs w:val="24"/>
        </w:rPr>
        <w:t xml:space="preserve">-0.021 </w:t>
      </w:r>
      <w:r>
        <w:rPr>
          <w:rFonts w:ascii="Times New Roman" w:hAnsi="Times New Roman"/>
          <w:sz w:val="24"/>
          <w:szCs w:val="24"/>
        </w:rPr>
        <w:t xml:space="preserve">dengan tanda negatif. Jika variabel </w:t>
      </w:r>
      <w:r>
        <w:rPr>
          <w:rStyle w:val="25"/>
          <w:rFonts w:ascii="Times New Roman" w:hAnsi="Times New Roman" w:cs="Times New Roman"/>
          <w:i/>
          <w:sz w:val="24"/>
          <w:szCs w:val="24"/>
        </w:rPr>
        <w:t>Capital Expenditure to Book Value of Asset (X2)</w:t>
      </w:r>
      <w:r>
        <w:rPr>
          <w:rStyle w:val="25"/>
        </w:rPr>
        <w:t xml:space="preserve">, </w:t>
      </w:r>
      <w:r>
        <w:rPr>
          <w:rFonts w:ascii="Times New Roman" w:hAnsi="Times New Roman"/>
          <w:i/>
          <w:sz w:val="24"/>
          <w:szCs w:val="24"/>
        </w:rPr>
        <w:t xml:space="preserve"> </w:t>
      </w:r>
      <w:r>
        <w:rPr>
          <w:rFonts w:ascii="Times New Roman" w:hAnsi="Times New Roman"/>
          <w:sz w:val="24"/>
          <w:szCs w:val="24"/>
        </w:rPr>
        <w:t>mengalami</w:t>
      </w:r>
      <w:r>
        <w:rPr>
          <w:rFonts w:ascii="Times New Roman" w:hAnsi="Times New Roman"/>
          <w:i/>
          <w:sz w:val="24"/>
          <w:szCs w:val="24"/>
        </w:rPr>
        <w:t xml:space="preserve"> </w:t>
      </w:r>
      <w:r>
        <w:rPr>
          <w:rFonts w:ascii="Times New Roman" w:hAnsi="Times New Roman"/>
          <w:sz w:val="24"/>
          <w:szCs w:val="24"/>
        </w:rPr>
        <w:t xml:space="preserve">kenaikan atau penurunan satu satuan maka </w:t>
      </w:r>
      <w:r>
        <w:rPr>
          <w:rFonts w:ascii="Times New Roman" w:hAnsi="Times New Roman"/>
          <w:i/>
          <w:sz w:val="24"/>
          <w:szCs w:val="24"/>
        </w:rPr>
        <w:t xml:space="preserve">Price Book Value (PBV) </w:t>
      </w:r>
      <w:r>
        <w:rPr>
          <w:rFonts w:ascii="Times New Roman" w:hAnsi="Times New Roman"/>
          <w:sz w:val="24"/>
          <w:szCs w:val="24"/>
        </w:rPr>
        <w:t xml:space="preserve">akan naik atau turun sebesar </w:t>
      </w:r>
      <w:r>
        <w:rPr>
          <w:rFonts w:ascii="Times New Roman" w:hAnsi="Times New Roman" w:cs="Times New Roman"/>
          <w:color w:val="010205"/>
          <w:sz w:val="24"/>
          <w:szCs w:val="24"/>
        </w:rPr>
        <w:t>-0.021</w:t>
      </w:r>
    </w:p>
    <w:p>
      <w:pPr>
        <w:autoSpaceDE w:val="0"/>
        <w:autoSpaceDN w:val="0"/>
        <w:adjustRightInd w:val="0"/>
        <w:ind w:firstLine="567"/>
        <w:rPr>
          <w:rFonts w:ascii="Times New Roman" w:hAnsi="Times New Roman"/>
          <w:sz w:val="24"/>
          <w:szCs w:val="24"/>
        </w:rPr>
      </w:pPr>
      <w:r>
        <w:rPr>
          <w:rFonts w:ascii="Times New Roman" w:hAnsi="Times New Roman"/>
          <w:sz w:val="24"/>
          <w:szCs w:val="24"/>
        </w:rPr>
        <w:t>Pada nilai koefisien b</w:t>
      </w:r>
      <w:r>
        <w:rPr>
          <w:rFonts w:ascii="Times New Roman" w:hAnsi="Times New Roman"/>
          <w:sz w:val="24"/>
          <w:szCs w:val="24"/>
          <w:vertAlign w:val="subscript"/>
        </w:rPr>
        <w:t>3</w:t>
      </w:r>
      <w:r>
        <w:rPr>
          <w:rFonts w:ascii="Times New Roman" w:hAnsi="Times New Roman"/>
          <w:sz w:val="24"/>
          <w:szCs w:val="24"/>
        </w:rPr>
        <w:t xml:space="preserve"> sebesar </w:t>
      </w:r>
      <w:r>
        <w:rPr>
          <w:rFonts w:ascii="Times New Roman" w:hAnsi="Times New Roman" w:cs="Times New Roman"/>
          <w:color w:val="010205"/>
          <w:sz w:val="24"/>
          <w:szCs w:val="24"/>
        </w:rPr>
        <w:t xml:space="preserve">-0.038 </w:t>
      </w:r>
      <w:r>
        <w:rPr>
          <w:rFonts w:ascii="Times New Roman" w:hAnsi="Times New Roman"/>
          <w:sz w:val="24"/>
          <w:szCs w:val="24"/>
        </w:rPr>
        <w:t xml:space="preserve">merupakan besarnya kontribusi variabel </w:t>
      </w:r>
      <w:r>
        <w:rPr>
          <w:rFonts w:ascii="Times New Roman" w:hAnsi="Times New Roman"/>
          <w:i/>
          <w:sz w:val="24"/>
          <w:szCs w:val="24"/>
        </w:rPr>
        <w:t xml:space="preserve">corrporate social responbility (CSR) </w:t>
      </w:r>
      <w:r>
        <w:rPr>
          <w:rFonts w:ascii="Times New Roman" w:hAnsi="Times New Roman"/>
          <w:sz w:val="24"/>
          <w:szCs w:val="24"/>
        </w:rPr>
        <w:t xml:space="preserve">yang mempengaruhi </w:t>
      </w:r>
      <w:r>
        <w:rPr>
          <w:rFonts w:ascii="Times New Roman" w:hAnsi="Times New Roman"/>
          <w:i/>
          <w:sz w:val="24"/>
          <w:szCs w:val="24"/>
        </w:rPr>
        <w:t xml:space="preserve">Price Book Value (PBV). </w:t>
      </w:r>
      <w:r>
        <w:rPr>
          <w:rFonts w:ascii="Times New Roman" w:hAnsi="Times New Roman"/>
          <w:sz w:val="24"/>
          <w:szCs w:val="24"/>
        </w:rPr>
        <w:t>Koefisien regresi b</w:t>
      </w:r>
      <w:r>
        <w:rPr>
          <w:rFonts w:ascii="Times New Roman" w:hAnsi="Times New Roman"/>
          <w:sz w:val="24"/>
          <w:szCs w:val="24"/>
          <w:vertAlign w:val="subscript"/>
        </w:rPr>
        <w:t>3</w:t>
      </w:r>
      <w:r>
        <w:rPr>
          <w:rFonts w:ascii="Times New Roman" w:hAnsi="Times New Roman"/>
          <w:sz w:val="24"/>
          <w:szCs w:val="24"/>
        </w:rPr>
        <w:t xml:space="preserve"> sebesar </w:t>
      </w:r>
      <w:r>
        <w:rPr>
          <w:rFonts w:ascii="Times New Roman" w:hAnsi="Times New Roman" w:cs="Times New Roman"/>
          <w:color w:val="010205"/>
          <w:sz w:val="24"/>
          <w:szCs w:val="24"/>
        </w:rPr>
        <w:t xml:space="preserve">-0.038 </w:t>
      </w:r>
      <w:r>
        <w:rPr>
          <w:rFonts w:ascii="Times New Roman" w:hAnsi="Times New Roman"/>
          <w:sz w:val="24"/>
          <w:szCs w:val="24"/>
        </w:rPr>
        <w:t xml:space="preserve">dengan tanda negatif. Jika variabel </w:t>
      </w:r>
      <w:r>
        <w:rPr>
          <w:rFonts w:ascii="Times New Roman" w:hAnsi="Times New Roman"/>
          <w:i/>
          <w:sz w:val="24"/>
          <w:szCs w:val="24"/>
        </w:rPr>
        <w:t xml:space="preserve">corrporate social responbility (CSR) </w:t>
      </w:r>
      <w:r>
        <w:rPr>
          <w:rFonts w:ascii="Times New Roman" w:hAnsi="Times New Roman"/>
          <w:sz w:val="24"/>
          <w:szCs w:val="24"/>
        </w:rPr>
        <w:t xml:space="preserve">mengalami kenaikan atau penurunan satu satuan maka </w:t>
      </w:r>
      <w:r>
        <w:rPr>
          <w:rFonts w:ascii="Times New Roman" w:hAnsi="Times New Roman"/>
          <w:i/>
          <w:sz w:val="24"/>
          <w:szCs w:val="24"/>
        </w:rPr>
        <w:t xml:space="preserve">Price Book Value (PBV) </w:t>
      </w:r>
      <w:r>
        <w:rPr>
          <w:rFonts w:ascii="Times New Roman" w:hAnsi="Times New Roman"/>
          <w:sz w:val="24"/>
          <w:szCs w:val="24"/>
        </w:rPr>
        <w:t xml:space="preserve">akan naik atau turun sebesar </w:t>
      </w:r>
      <w:r>
        <w:rPr>
          <w:rFonts w:ascii="Times New Roman" w:hAnsi="Times New Roman" w:cs="Times New Roman"/>
          <w:color w:val="010205"/>
          <w:sz w:val="24"/>
          <w:szCs w:val="24"/>
        </w:rPr>
        <w:t>-0.038</w:t>
      </w:r>
    </w:p>
    <w:p>
      <w:pPr>
        <w:autoSpaceDE w:val="0"/>
        <w:autoSpaceDN w:val="0"/>
        <w:adjustRightInd w:val="0"/>
        <w:ind w:firstLine="567"/>
        <w:rPr>
          <w:rFonts w:ascii="Times New Roman" w:hAnsi="Times New Roman"/>
          <w:sz w:val="24"/>
          <w:szCs w:val="24"/>
        </w:rPr>
      </w:pPr>
      <w:r>
        <w:rPr>
          <w:rFonts w:ascii="Times New Roman" w:hAnsi="Times New Roman"/>
          <w:sz w:val="24"/>
          <w:szCs w:val="24"/>
        </w:rPr>
        <w:t>Pada nilai koefisien b</w:t>
      </w:r>
      <w:r>
        <w:rPr>
          <w:rFonts w:ascii="Times New Roman" w:hAnsi="Times New Roman"/>
          <w:sz w:val="24"/>
          <w:szCs w:val="24"/>
          <w:vertAlign w:val="subscript"/>
        </w:rPr>
        <w:t>4</w:t>
      </w:r>
      <w:r>
        <w:rPr>
          <w:rFonts w:ascii="Times New Roman" w:hAnsi="Times New Roman"/>
          <w:sz w:val="24"/>
          <w:szCs w:val="24"/>
        </w:rPr>
        <w:t xml:space="preserve"> sebesar 0</w:t>
      </w:r>
      <w:r>
        <w:rPr>
          <w:rFonts w:ascii="Times New Roman" w:hAnsi="Times New Roman" w:cs="Times New Roman"/>
          <w:color w:val="010205"/>
          <w:sz w:val="24"/>
          <w:szCs w:val="24"/>
        </w:rPr>
        <w:t xml:space="preserve">.012 </w:t>
      </w:r>
      <w:r>
        <w:rPr>
          <w:rFonts w:ascii="Times New Roman" w:hAnsi="Times New Roman"/>
          <w:sz w:val="24"/>
          <w:szCs w:val="24"/>
        </w:rPr>
        <w:t>merupakan besarnya kontribusi variabel risiko bisnis</w:t>
      </w:r>
      <w:r>
        <w:rPr>
          <w:rFonts w:ascii="Times New Roman" w:hAnsi="Times New Roman"/>
          <w:i/>
          <w:sz w:val="24"/>
          <w:szCs w:val="24"/>
        </w:rPr>
        <w:t xml:space="preserve"> </w:t>
      </w:r>
      <w:r>
        <w:rPr>
          <w:rFonts w:ascii="Times New Roman" w:hAnsi="Times New Roman"/>
          <w:sz w:val="24"/>
          <w:szCs w:val="24"/>
        </w:rPr>
        <w:t xml:space="preserve">yang mempengaruhi </w:t>
      </w:r>
      <w:r>
        <w:rPr>
          <w:rFonts w:ascii="Times New Roman" w:hAnsi="Times New Roman"/>
          <w:i/>
          <w:sz w:val="24"/>
          <w:szCs w:val="24"/>
        </w:rPr>
        <w:t xml:space="preserve">Price Book Value (PBV). </w:t>
      </w:r>
      <w:r>
        <w:rPr>
          <w:rFonts w:ascii="Times New Roman" w:hAnsi="Times New Roman"/>
          <w:sz w:val="24"/>
          <w:szCs w:val="24"/>
        </w:rPr>
        <w:t>Koefisien regresi b</w:t>
      </w:r>
      <w:r>
        <w:rPr>
          <w:rFonts w:ascii="Times New Roman" w:hAnsi="Times New Roman"/>
          <w:sz w:val="24"/>
          <w:szCs w:val="24"/>
          <w:vertAlign w:val="subscript"/>
        </w:rPr>
        <w:t>4</w:t>
      </w:r>
      <w:r>
        <w:rPr>
          <w:rFonts w:ascii="Times New Roman" w:hAnsi="Times New Roman"/>
          <w:sz w:val="24"/>
          <w:szCs w:val="24"/>
        </w:rPr>
        <w:t xml:space="preserve"> sebesar 0</w:t>
      </w:r>
      <w:r>
        <w:rPr>
          <w:rFonts w:ascii="Times New Roman" w:hAnsi="Times New Roman" w:cs="Times New Roman"/>
          <w:color w:val="010205"/>
          <w:sz w:val="24"/>
          <w:szCs w:val="24"/>
        </w:rPr>
        <w:t xml:space="preserve">.012 </w:t>
      </w:r>
      <w:r>
        <w:rPr>
          <w:rFonts w:ascii="Times New Roman" w:hAnsi="Times New Roman"/>
          <w:sz w:val="24"/>
          <w:szCs w:val="24"/>
        </w:rPr>
        <w:t>dengan tanda positif. Jika variabel risiko bisnis</w:t>
      </w:r>
      <w:r>
        <w:rPr>
          <w:rFonts w:ascii="Times New Roman" w:hAnsi="Times New Roman"/>
          <w:i/>
          <w:sz w:val="24"/>
          <w:szCs w:val="24"/>
        </w:rPr>
        <w:t>v</w:t>
      </w:r>
      <w:r>
        <w:rPr>
          <w:rFonts w:ascii="Times New Roman" w:hAnsi="Times New Roman"/>
          <w:sz w:val="24"/>
          <w:szCs w:val="24"/>
        </w:rPr>
        <w:t xml:space="preserve">berubah atau mengalami kenaikan atau penurunan satu satuan maka </w:t>
      </w:r>
      <w:r>
        <w:rPr>
          <w:rFonts w:ascii="Times New Roman" w:hAnsi="Times New Roman"/>
          <w:i/>
          <w:sz w:val="24"/>
          <w:szCs w:val="24"/>
        </w:rPr>
        <w:t xml:space="preserve">Price Book Value (PBV) </w:t>
      </w:r>
      <w:r>
        <w:rPr>
          <w:rFonts w:ascii="Times New Roman" w:hAnsi="Times New Roman"/>
          <w:sz w:val="24"/>
          <w:szCs w:val="24"/>
        </w:rPr>
        <w:t>akan naik atau turun sebesar 0</w:t>
      </w:r>
      <w:r>
        <w:rPr>
          <w:rFonts w:ascii="Times New Roman" w:hAnsi="Times New Roman" w:cs="Times New Roman"/>
          <w:color w:val="010205"/>
          <w:sz w:val="24"/>
          <w:szCs w:val="24"/>
        </w:rPr>
        <w:t>.012.</w:t>
      </w:r>
      <w:r>
        <w:rPr>
          <w:rFonts w:ascii="Times New Roman" w:hAnsi="Times New Roman"/>
          <w:sz w:val="24"/>
          <w:szCs w:val="24"/>
        </w:rPr>
        <w:t xml:space="preserve"> </w:t>
      </w:r>
    </w:p>
    <w:p>
      <w:pPr>
        <w:spacing w:after="240" w:line="240" w:lineRule="auto"/>
        <w:ind w:firstLine="0"/>
        <w:rPr>
          <w:rFonts w:ascii="Times New Roman" w:hAnsi="Times New Roman" w:cs="Times New Roman"/>
          <w:b/>
          <w:sz w:val="24"/>
          <w:szCs w:val="24"/>
        </w:rPr>
      </w:pPr>
      <w:r>
        <w:rPr>
          <w:rFonts w:ascii="Times New Roman" w:hAnsi="Times New Roman" w:cs="Times New Roman"/>
          <w:b/>
          <w:sz w:val="24"/>
          <w:szCs w:val="24"/>
        </w:rPr>
        <w:t>4.5 UJI HIPOTESIS</w:t>
      </w:r>
    </w:p>
    <w:p>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4.5.1</w:t>
      </w:r>
      <w:r>
        <w:rPr>
          <w:rFonts w:ascii="Times New Roman" w:hAnsi="Times New Roman" w:cs="Times New Roman"/>
          <w:b/>
          <w:sz w:val="24"/>
          <w:szCs w:val="24"/>
        </w:rPr>
        <w:tab/>
      </w:r>
      <w:r>
        <w:rPr>
          <w:rFonts w:ascii="Times New Roman" w:hAnsi="Times New Roman" w:cs="Times New Roman"/>
          <w:b/>
          <w:sz w:val="24"/>
          <w:szCs w:val="24"/>
        </w:rPr>
        <w:t xml:space="preserve"> Uji Koefisien Determinasi (R₂)</w:t>
      </w:r>
    </w:p>
    <w:p>
      <w:pPr>
        <w:spacing w:line="240" w:lineRule="auto"/>
        <w:ind w:firstLine="0"/>
        <w:rPr>
          <w:rFonts w:ascii="Times New Roman" w:hAnsi="Times New Roman" w:cs="Times New Roman"/>
          <w:b/>
          <w:sz w:val="24"/>
          <w:szCs w:val="24"/>
        </w:rPr>
      </w:pPr>
    </w:p>
    <w:p>
      <w:pPr>
        <w:tabs>
          <w:tab w:val="left" w:pos="90"/>
        </w:tabs>
        <w:ind w:firstLine="720"/>
        <w:rPr>
          <w:rFonts w:ascii="Times New Roman" w:hAnsi="Times New Roman"/>
          <w:sz w:val="24"/>
          <w:szCs w:val="24"/>
        </w:rPr>
      </w:pPr>
      <w:r>
        <w:rPr>
          <w:rFonts w:ascii="Times New Roman" w:hAnsi="Times New Roman" w:cs="Times New Roman"/>
          <w:sz w:val="24"/>
          <w:szCs w:val="24"/>
        </w:rPr>
        <w:t xml:space="preserve">Uji koefisien determinanasi merupakan ukuran yang mengatakan seberapa baik garis regresi sampel cocok atau sesuai dengan datanya, </w:t>
      </w:r>
      <w:r>
        <w:rPr>
          <w:rFonts w:ascii="Times New Roman" w:hAnsi="Times New Roman"/>
          <w:sz w:val="24"/>
          <w:szCs w:val="24"/>
        </w:rPr>
        <w:t xml:space="preserve">Koefisien determinasi ini digunakan untuk mengetahui seberapa besar pengaruh variabel – variabel bebas memiliki pengaruh terhadap variabel terikatnya </w:t>
      </w:r>
      <w:sdt>
        <w:sdtPr>
          <w:rPr>
            <w:rFonts w:ascii="Times New Roman" w:hAnsi="Times New Roman" w:cs="Times New Roman"/>
            <w:sz w:val="24"/>
            <w:szCs w:val="24"/>
          </w:rPr>
          <w:id w:val="1468243934"/>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Sar17 \l 1033 </w:instrText>
          </w:r>
          <w:r>
            <w:rPr>
              <w:rFonts w:ascii="Times New Roman" w:hAnsi="Times New Roman" w:cs="Times New Roman"/>
              <w:sz w:val="24"/>
              <w:szCs w:val="24"/>
            </w:rPr>
            <w:fldChar w:fldCharType="separate"/>
          </w:r>
          <w:r>
            <w:rPr>
              <w:rFonts w:ascii="Times New Roman" w:hAnsi="Times New Roman" w:cs="Times New Roman"/>
              <w:sz w:val="24"/>
              <w:szCs w:val="24"/>
            </w:rPr>
            <w:t>(Sartika, 2017)</w:t>
          </w:r>
          <w:r>
            <w:rPr>
              <w:rFonts w:ascii="Times New Roman" w:hAnsi="Times New Roman" w:cs="Times New Roman"/>
              <w:sz w:val="24"/>
              <w:szCs w:val="24"/>
            </w:rPr>
            <w:fldChar w:fldCharType="end"/>
          </w:r>
        </w:sdtContent>
      </w:sdt>
      <w:r>
        <w:rPr>
          <w:rFonts w:ascii="Times New Roman" w:hAnsi="Times New Roman"/>
          <w:sz w:val="24"/>
          <w:szCs w:val="24"/>
        </w:rPr>
        <w:t xml:space="preserve">. Nilai koefisien determinasi ditentukan dengan nilai </w:t>
      </w:r>
      <w:r>
        <w:rPr>
          <w:rFonts w:ascii="Times New Roman" w:hAnsi="Times New Roman"/>
          <w:i/>
          <w:sz w:val="24"/>
          <w:szCs w:val="24"/>
        </w:rPr>
        <w:t>Adjusted R Square.</w:t>
      </w:r>
      <w:r>
        <w:rPr>
          <w:rFonts w:ascii="Times New Roman" w:hAnsi="Times New Roman"/>
          <w:sz w:val="24"/>
          <w:szCs w:val="24"/>
        </w:rPr>
        <w:t xml:space="preserve"> Berikut tabel Uji Koefisien Determinasi (R</w:t>
      </w:r>
      <w:r>
        <w:rPr>
          <w:rFonts w:ascii="Times New Roman" w:hAnsi="Times New Roman"/>
          <w:sz w:val="24"/>
          <w:szCs w:val="24"/>
          <w:vertAlign w:val="superscript"/>
        </w:rPr>
        <w:t>2</w:t>
      </w:r>
      <w:r>
        <w:rPr>
          <w:rFonts w:ascii="Times New Roman" w:hAnsi="Times New Roman"/>
          <w:sz w:val="24"/>
          <w:szCs w:val="24"/>
        </w:rPr>
        <w:t>) :</w:t>
      </w:r>
    </w:p>
    <w:p>
      <w:pPr>
        <w:tabs>
          <w:tab w:val="left" w:pos="90"/>
        </w:tabs>
        <w:ind w:firstLine="0"/>
        <w:jc w:val="center"/>
        <w:rPr>
          <w:rFonts w:ascii="Times New Roman" w:hAnsi="Times New Roman" w:cs="Times New Roman"/>
          <w:b/>
          <w:sz w:val="24"/>
          <w:szCs w:val="24"/>
        </w:rPr>
      </w:pPr>
    </w:p>
    <w:p>
      <w:pPr>
        <w:tabs>
          <w:tab w:val="left" w:pos="90"/>
        </w:tabs>
        <w:ind w:firstLine="0"/>
        <w:jc w:val="center"/>
        <w:rPr>
          <w:rFonts w:ascii="Times New Roman" w:hAnsi="Times New Roman" w:cs="Times New Roman"/>
          <w:b/>
          <w:sz w:val="24"/>
          <w:szCs w:val="24"/>
        </w:rPr>
      </w:pPr>
    </w:p>
    <w:p>
      <w:pPr>
        <w:tabs>
          <w:tab w:val="left" w:pos="90"/>
        </w:tabs>
        <w:ind w:firstLine="0"/>
        <w:jc w:val="center"/>
        <w:rPr>
          <w:rFonts w:ascii="Times New Roman" w:hAnsi="Times New Roman" w:cs="Times New Roman"/>
          <w:b/>
          <w:sz w:val="24"/>
          <w:szCs w:val="24"/>
        </w:rPr>
      </w:pPr>
    </w:p>
    <w:p>
      <w:pPr>
        <w:tabs>
          <w:tab w:val="left" w:pos="90"/>
        </w:tabs>
        <w:ind w:firstLine="0"/>
        <w:jc w:val="center"/>
        <w:rPr>
          <w:rFonts w:ascii="Times New Roman" w:hAnsi="Times New Roman" w:cs="Times New Roman"/>
          <w:sz w:val="24"/>
          <w:szCs w:val="24"/>
        </w:rPr>
      </w:pPr>
      <w:r>
        <w:rPr>
          <w:rFonts w:ascii="Times New Roman" w:hAnsi="Times New Roman" w:cs="Times New Roman"/>
          <w:b/>
          <w:sz w:val="24"/>
          <w:szCs w:val="24"/>
        </w:rPr>
        <w:t>TABEL 4.7</w:t>
      </w:r>
    </w:p>
    <w:p>
      <w:pPr>
        <w:ind w:firstLine="0"/>
        <w:jc w:val="center"/>
        <w:rPr>
          <w:rFonts w:ascii="Times New Roman" w:hAnsi="Times New Roman" w:cs="Times New Roman"/>
          <w:b/>
          <w:sz w:val="24"/>
          <w:szCs w:val="24"/>
        </w:rPr>
      </w:pPr>
      <w:r>
        <w:rPr>
          <w:rFonts w:ascii="Times New Roman" w:hAnsi="Times New Roman" w:cs="Times New Roman"/>
          <w:b/>
          <w:sz w:val="24"/>
          <w:szCs w:val="24"/>
        </w:rPr>
        <w:t>Hasil Uji Koefisien Determinasi</w:t>
      </w:r>
    </w:p>
    <w:tbl>
      <w:tblPr>
        <w:tblStyle w:val="6"/>
        <w:tblW w:w="5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182"/>
        <w:gridCol w:w="1182"/>
        <w:gridCol w:w="1182"/>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911" w:type="dxa"/>
            <w:gridSpan w:val="5"/>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Model Summary</w:t>
            </w:r>
            <w:r>
              <w:rPr>
                <w:rFonts w:hint="eastAsia" w:ascii="Times New Roman" w:hAnsi="Times New Roman" w:eastAsia="Times New Roman" w:cs="Times New Roman"/>
                <w:b/>
                <w:bCs/>
                <w:sz w:val="24"/>
                <w:szCs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118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Model</w:t>
            </w:r>
          </w:p>
        </w:tc>
        <w:tc>
          <w:tcPr>
            <w:tcW w:w="118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R</w:t>
            </w:r>
          </w:p>
        </w:tc>
        <w:tc>
          <w:tcPr>
            <w:tcW w:w="118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R Square</w:t>
            </w:r>
          </w:p>
        </w:tc>
        <w:tc>
          <w:tcPr>
            <w:tcW w:w="1182"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Adjusted R Square</w:t>
            </w:r>
          </w:p>
        </w:tc>
        <w:tc>
          <w:tcPr>
            <w:tcW w:w="1183"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Std. Error of the Estimate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82" w:type="dxa"/>
            <w:shd w:val="clear" w:color="000000" w:fill="CCCCFF"/>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w:t>
            </w:r>
          </w:p>
        </w:tc>
        <w:tc>
          <w:tcPr>
            <w:tcW w:w="1182"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,254</w:t>
            </w:r>
            <w:r>
              <w:rPr>
                <w:rFonts w:hint="eastAsia" w:ascii="Times New Roman" w:hAnsi="Times New Roman" w:eastAsia="Times New Roman" w:cs="Times New Roman"/>
                <w:sz w:val="24"/>
                <w:szCs w:val="24"/>
                <w:vertAlign w:val="superscript"/>
              </w:rPr>
              <w:t>a</w:t>
            </w:r>
          </w:p>
        </w:tc>
        <w:tc>
          <w:tcPr>
            <w:tcW w:w="1182"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0.064</w:t>
            </w:r>
          </w:p>
        </w:tc>
        <w:tc>
          <w:tcPr>
            <w:tcW w:w="1182"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0.045</w:t>
            </w:r>
          </w:p>
        </w:tc>
        <w:tc>
          <w:tcPr>
            <w:tcW w:w="118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0.65654</w:t>
            </w:r>
          </w:p>
        </w:tc>
      </w:tr>
    </w:tbl>
    <w:p>
      <w:pPr>
        <w:autoSpaceDE w:val="0"/>
        <w:autoSpaceDN w:val="0"/>
        <w:adjustRightInd w:val="0"/>
        <w:spacing w:line="360" w:lineRule="auto"/>
        <w:ind w:left="720" w:firstLine="0"/>
        <w:rPr>
          <w:rFonts w:ascii="Times New Roman" w:hAnsi="Times New Roman" w:eastAsia="Calibri" w:cs="Times New Roman"/>
          <w:color w:val="010205"/>
          <w:sz w:val="24"/>
          <w:szCs w:val="24"/>
        </w:rPr>
      </w:pPr>
      <w:r>
        <w:rPr>
          <w:rFonts w:ascii="Times New Roman" w:hAnsi="Times New Roman" w:eastAsia="Calibri" w:cs="Times New Roman"/>
          <w:color w:val="010205"/>
          <w:sz w:val="24"/>
          <w:szCs w:val="24"/>
        </w:rPr>
        <w:t>Sumber : Hasil Pengolahan SPSS 26</w:t>
      </w:r>
    </w:p>
    <w:p>
      <w:pPr>
        <w:rPr>
          <w:rFonts w:ascii="Times New Roman" w:hAnsi="Times New Roman" w:cs="Times New Roman"/>
          <w:sz w:val="24"/>
          <w:szCs w:val="24"/>
        </w:rPr>
      </w:pPr>
      <w:r>
        <w:rPr>
          <w:rFonts w:ascii="Times New Roman" w:hAnsi="Times New Roman"/>
          <w:color w:val="010205"/>
          <w:sz w:val="24"/>
          <w:szCs w:val="24"/>
        </w:rPr>
        <w:tab/>
      </w:r>
      <w:r>
        <w:rPr>
          <w:rFonts w:ascii="Times New Roman" w:hAnsi="Times New Roman"/>
          <w:color w:val="010205"/>
          <w:sz w:val="24"/>
          <w:szCs w:val="24"/>
        </w:rPr>
        <w:t xml:space="preserve">Berdasarkan tabel output Model </w:t>
      </w:r>
      <w:r>
        <w:rPr>
          <w:rFonts w:ascii="Times New Roman" w:hAnsi="Times New Roman"/>
          <w:i/>
          <w:color w:val="010205"/>
          <w:sz w:val="24"/>
          <w:szCs w:val="24"/>
        </w:rPr>
        <w:t>Summary</w:t>
      </w:r>
      <w:r>
        <w:rPr>
          <w:rFonts w:ascii="Times New Roman" w:hAnsi="Times New Roman"/>
          <w:color w:val="010205"/>
          <w:sz w:val="24"/>
          <w:szCs w:val="24"/>
        </w:rPr>
        <w:t xml:space="preserve"> bahwa koefisien determinasi  </w:t>
      </w:r>
      <w:r>
        <w:rPr>
          <w:rFonts w:ascii="Times New Roman" w:hAnsi="Times New Roman"/>
          <w:i/>
          <w:color w:val="010205"/>
          <w:sz w:val="24"/>
          <w:szCs w:val="24"/>
        </w:rPr>
        <w:t>( R Square )</w:t>
      </w:r>
      <w:r>
        <w:rPr>
          <w:rFonts w:ascii="Times New Roman" w:hAnsi="Times New Roman"/>
          <w:color w:val="010205"/>
          <w:sz w:val="24"/>
          <w:szCs w:val="24"/>
        </w:rPr>
        <w:t xml:space="preserve"> yang diperoleh sebesar 0.064. Hal ini berarti bahwa </w:t>
      </w:r>
      <w:r>
        <w:rPr>
          <w:rFonts w:ascii="Times New Roman" w:hAnsi="Times New Roman"/>
          <w:i/>
          <w:color w:val="010205"/>
          <w:sz w:val="24"/>
          <w:szCs w:val="24"/>
        </w:rPr>
        <w:t xml:space="preserve">Price Book Value </w:t>
      </w:r>
      <w:r>
        <w:rPr>
          <w:rFonts w:ascii="Times New Roman" w:hAnsi="Times New Roman"/>
          <w:color w:val="010205"/>
          <w:sz w:val="24"/>
          <w:szCs w:val="24"/>
        </w:rPr>
        <w:t xml:space="preserve">sebagai variabel terikat pada sub sektor perbankan yang terdaftar di Bursa Efek Indonesia dapat dipengaruhi oleh variabel </w:t>
      </w:r>
      <w:r>
        <w:rPr>
          <w:rFonts w:ascii="Times New Roman" w:hAnsi="Times New Roman"/>
          <w:i/>
          <w:sz w:val="24"/>
          <w:szCs w:val="24"/>
        </w:rPr>
        <w:t xml:space="preserve">market to book value equity, </w:t>
      </w:r>
      <w:r>
        <w:rPr>
          <w:rStyle w:val="25"/>
          <w:rFonts w:ascii="Times New Roman" w:hAnsi="Times New Roman" w:cs="Times New Roman"/>
          <w:i/>
          <w:sz w:val="24"/>
          <w:szCs w:val="24"/>
        </w:rPr>
        <w:t>Capital Expenditure to Book Value of Asset</w:t>
      </w:r>
      <w:r>
        <w:rPr>
          <w:rStyle w:val="25"/>
        </w:rPr>
        <w:t xml:space="preserve">, </w:t>
      </w:r>
      <w:r>
        <w:rPr>
          <w:rStyle w:val="25"/>
          <w:rFonts w:ascii="Times New Roman" w:hAnsi="Times New Roman" w:cs="Times New Roman"/>
          <w:i/>
          <w:sz w:val="24"/>
          <w:szCs w:val="24"/>
        </w:rPr>
        <w:t xml:space="preserve">corrporate social responbility, </w:t>
      </w:r>
      <w:r>
        <w:rPr>
          <w:rStyle w:val="25"/>
          <w:rFonts w:ascii="Times New Roman" w:hAnsi="Times New Roman" w:cs="Times New Roman"/>
          <w:sz w:val="24"/>
          <w:szCs w:val="24"/>
        </w:rPr>
        <w:t>dan risiko</w:t>
      </w:r>
      <w:r>
        <w:rPr>
          <w:rFonts w:ascii="Times New Roman" w:hAnsi="Times New Roman"/>
          <w:i/>
          <w:sz w:val="24"/>
          <w:szCs w:val="24"/>
        </w:rPr>
        <w:t xml:space="preserve"> </w:t>
      </w:r>
      <w:r>
        <w:rPr>
          <w:rFonts w:ascii="Times New Roman" w:hAnsi="Times New Roman"/>
          <w:sz w:val="24"/>
          <w:szCs w:val="24"/>
        </w:rPr>
        <w:t>bisnis</w:t>
      </w:r>
      <w:r>
        <w:rPr>
          <w:rFonts w:ascii="Times New Roman" w:hAnsi="Times New Roman"/>
          <w:i/>
          <w:sz w:val="24"/>
          <w:szCs w:val="24"/>
        </w:rPr>
        <w:t xml:space="preserve"> </w:t>
      </w:r>
      <w:r>
        <w:rPr>
          <w:rFonts w:ascii="Times New Roman" w:hAnsi="Times New Roman"/>
          <w:sz w:val="24"/>
          <w:szCs w:val="24"/>
        </w:rPr>
        <w:t xml:space="preserve">6.4% . </w:t>
      </w:r>
      <w:r>
        <w:rPr>
          <w:rFonts w:ascii="Times New Roman" w:hAnsi="Times New Roman" w:cs="Times New Roman"/>
          <w:sz w:val="24"/>
          <w:szCs w:val="24"/>
        </w:rPr>
        <w:t xml:space="preserve">Mengindikasikan bahwa besarnya besarnya Nilai Perusahaan yaitu 6.4% dijelaskan oleh </w:t>
      </w:r>
      <w:r>
        <w:rPr>
          <w:rFonts w:ascii="Times New Roman" w:hAnsi="Times New Roman"/>
          <w:i/>
          <w:sz w:val="24"/>
          <w:szCs w:val="24"/>
        </w:rPr>
        <w:t>market to book value equity</w:t>
      </w:r>
      <w:r>
        <w:rPr>
          <w:rFonts w:ascii="Times New Roman" w:hAnsi="Times New Roman" w:cs="Times New Roman"/>
          <w:sz w:val="24"/>
          <w:szCs w:val="24"/>
        </w:rPr>
        <w:t xml:space="preserve"> (X1), </w:t>
      </w:r>
      <w:r>
        <w:rPr>
          <w:rStyle w:val="25"/>
          <w:rFonts w:ascii="Times New Roman" w:hAnsi="Times New Roman" w:cs="Times New Roman"/>
          <w:i/>
          <w:sz w:val="24"/>
          <w:szCs w:val="24"/>
        </w:rPr>
        <w:t>Capital Expenditure to Book Value of Asset</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X2) </w:t>
      </w:r>
      <w:r>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yang terdiri dari CSRDI(X3) </w:t>
      </w:r>
      <w:r>
        <w:rPr>
          <w:rStyle w:val="25"/>
          <w:rFonts w:ascii="Times New Roman" w:hAnsi="Times New Roman" w:cs="Times New Roman"/>
          <w:sz w:val="24"/>
          <w:szCs w:val="24"/>
        </w:rPr>
        <w:t>risiko</w:t>
      </w:r>
      <w:r>
        <w:rPr>
          <w:rFonts w:ascii="Times New Roman" w:hAnsi="Times New Roman"/>
          <w:i/>
          <w:sz w:val="24"/>
          <w:szCs w:val="24"/>
        </w:rPr>
        <w:t xml:space="preserve"> </w:t>
      </w:r>
      <w:r>
        <w:rPr>
          <w:rFonts w:ascii="Times New Roman" w:hAnsi="Times New Roman"/>
          <w:sz w:val="24"/>
          <w:szCs w:val="24"/>
        </w:rPr>
        <w:t>bisnis yang terdiri dari BRISK</w:t>
      </w:r>
      <w:r>
        <w:rPr>
          <w:rFonts w:ascii="Times New Roman" w:hAnsi="Times New Roman"/>
          <w:i/>
          <w:sz w:val="24"/>
          <w:szCs w:val="24"/>
        </w:rPr>
        <w:t xml:space="preserve"> </w:t>
      </w:r>
      <w:r>
        <w:rPr>
          <w:rFonts w:ascii="Times New Roman" w:hAnsi="Times New Roman"/>
          <w:sz w:val="24"/>
          <w:szCs w:val="24"/>
        </w:rPr>
        <w:t xml:space="preserve">(X4) </w:t>
      </w:r>
      <w:r>
        <w:rPr>
          <w:rFonts w:ascii="Times New Roman" w:hAnsi="Times New Roman" w:cs="Times New Roman"/>
          <w:sz w:val="24"/>
          <w:szCs w:val="24"/>
        </w:rPr>
        <w:t>dapat disimpulkan bahwa variabel-variabel bebas mampu menjelaskan atau memberikan informasi yang dibutuhkan untuk memprediksi variabel terikat.</w:t>
      </w:r>
    </w:p>
    <w:p>
      <w:pPr>
        <w:ind w:firstLine="0"/>
        <w:rPr>
          <w:rFonts w:ascii="Times New Roman" w:hAnsi="Times New Roman" w:cs="Times New Roman"/>
          <w:b/>
          <w:sz w:val="24"/>
          <w:szCs w:val="24"/>
        </w:rPr>
      </w:pPr>
      <w:r>
        <w:rPr>
          <w:rFonts w:ascii="Times New Roman" w:hAnsi="Times New Roman" w:cs="Times New Roman"/>
          <w:b/>
          <w:sz w:val="24"/>
          <w:szCs w:val="24"/>
        </w:rPr>
        <w:t>4.5.2 Uji Simultan ( F)</w:t>
      </w:r>
    </w:p>
    <w:p>
      <w:pPr>
        <w:ind w:firstLine="720"/>
        <w:rPr>
          <w:rFonts w:ascii="Times New Roman" w:hAnsi="Times New Roman"/>
          <w:sz w:val="24"/>
          <w:szCs w:val="24"/>
        </w:rPr>
      </w:pPr>
      <w:r>
        <w:rPr>
          <w:rFonts w:ascii="Times New Roman" w:hAnsi="Times New Roman" w:cs="Times New Roman"/>
          <w:sz w:val="24"/>
          <w:szCs w:val="24"/>
        </w:rPr>
        <w:t xml:space="preserve">Uji F untuk </w:t>
      </w:r>
      <w:r>
        <w:rPr>
          <w:rFonts w:ascii="Times New Roman" w:hAnsi="Times New Roman"/>
          <w:sz w:val="24"/>
          <w:szCs w:val="24"/>
        </w:rPr>
        <w:t xml:space="preserve">menguji apakah variabel independen mampu menjelaskan variable dependen secara baik atau untuk menguji apakah model yang digunakan telah fit atau tidak, syarat menilai hasil hipotesis uji F adalah jika nilai Sig. &lt; 0,05 maka berpengaruh secara simultan dan jika nilai Sig. &gt; 0,05 maka tidak berpengaruh secara simultan. </w:t>
      </w:r>
      <w:sdt>
        <w:sdtPr>
          <w:rPr>
            <w:rFonts w:ascii="Times New Roman" w:hAnsi="Times New Roman" w:cs="Times New Roman"/>
            <w:sz w:val="24"/>
            <w:szCs w:val="24"/>
          </w:rPr>
          <w:id w:val="1468243935"/>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Sar17 \l 1033 </w:instrText>
          </w:r>
          <w:r>
            <w:rPr>
              <w:rFonts w:ascii="Times New Roman" w:hAnsi="Times New Roman" w:cs="Times New Roman"/>
              <w:sz w:val="24"/>
              <w:szCs w:val="24"/>
            </w:rPr>
            <w:fldChar w:fldCharType="separate"/>
          </w:r>
          <w:r>
            <w:rPr>
              <w:rFonts w:ascii="Times New Roman" w:hAnsi="Times New Roman" w:cs="Times New Roman"/>
              <w:sz w:val="24"/>
              <w:szCs w:val="24"/>
            </w:rPr>
            <w:t>(Sartika,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Pr>
          <w:rFonts w:ascii="Times New Roman" w:hAnsi="Times New Roman"/>
          <w:sz w:val="24"/>
          <w:szCs w:val="24"/>
        </w:rPr>
        <w:t xml:space="preserve"> </w:t>
      </w:r>
    </w:p>
    <w:p>
      <w:pPr>
        <w:ind w:firstLine="0"/>
        <w:jc w:val="center"/>
        <w:rPr>
          <w:rFonts w:ascii="Times New Roman" w:hAnsi="Times New Roman" w:cs="Times New Roman"/>
          <w:b/>
          <w:sz w:val="24"/>
          <w:szCs w:val="24"/>
        </w:rPr>
      </w:pPr>
      <w:r>
        <w:rPr>
          <w:rFonts w:ascii="Times New Roman" w:hAnsi="Times New Roman" w:cs="Times New Roman"/>
          <w:b/>
          <w:sz w:val="24"/>
          <w:szCs w:val="24"/>
        </w:rPr>
        <w:t>TABEL 4.7</w:t>
      </w:r>
    </w:p>
    <w:p>
      <w:pPr>
        <w:ind w:firstLine="0"/>
        <w:jc w:val="center"/>
        <w:rPr>
          <w:rFonts w:ascii="Times New Roman" w:hAnsi="Times New Roman" w:cs="Times New Roman"/>
          <w:b/>
          <w:sz w:val="24"/>
          <w:szCs w:val="24"/>
        </w:rPr>
      </w:pPr>
      <w:r>
        <w:rPr>
          <w:rFonts w:ascii="Times New Roman" w:hAnsi="Times New Roman" w:cs="Times New Roman"/>
          <w:b/>
          <w:sz w:val="24"/>
          <w:szCs w:val="24"/>
        </w:rPr>
        <w:t>Uji Statistik Simultan (F)</w:t>
      </w:r>
    </w:p>
    <w:tbl>
      <w:tblPr>
        <w:tblStyle w:val="6"/>
        <w:tblW w:w="7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6"/>
        <w:gridCol w:w="1324"/>
        <w:gridCol w:w="1557"/>
        <w:gridCol w:w="1305"/>
        <w:gridCol w:w="1145"/>
        <w:gridCol w:w="834"/>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jc w:val="center"/>
        </w:trPr>
        <w:tc>
          <w:tcPr>
            <w:tcW w:w="7599" w:type="dxa"/>
            <w:gridSpan w:val="7"/>
            <w:shd w:val="clear" w:color="auto" w:fill="FFFFFF"/>
            <w:vAlign w:val="center"/>
          </w:tcPr>
          <w:p>
            <w:pPr>
              <w:keepNext w:val="0"/>
              <w:keepLines w:val="0"/>
              <w:widowControl/>
              <w:suppressLineNumbers w:val="0"/>
              <w:autoSpaceDE w:val="0"/>
              <w:autoSpaceDN w:val="0"/>
              <w:adjustRightInd w:val="0"/>
              <w:spacing w:before="0" w:beforeAutospacing="0" w:after="0" w:afterAutospacing="0" w:line="320" w:lineRule="atLeast"/>
              <w:ind w:left="0" w:right="60" w:firstLine="0"/>
              <w:jc w:val="center"/>
              <w:rPr>
                <w:rFonts w:hint="eastAsia" w:ascii="Times New Roman" w:hAnsi="Times New Roman" w:cs="Times New Roman"/>
                <w:sz w:val="24"/>
                <w:szCs w:val="24"/>
              </w:rPr>
            </w:pPr>
            <w:r>
              <w:rPr>
                <w:rFonts w:hint="eastAsia" w:ascii="Times New Roman" w:hAnsi="Times New Roman" w:cs="Times New Roman"/>
                <w:b/>
                <w:bCs/>
                <w:sz w:val="24"/>
                <w:szCs w:val="24"/>
              </w:rPr>
              <w:t>ANOVA</w:t>
            </w:r>
            <w:r>
              <w:rPr>
                <w:rFonts w:hint="eastAsia" w:ascii="Times New Roman" w:hAnsi="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jc w:val="center"/>
        </w:trPr>
        <w:tc>
          <w:tcPr>
            <w:tcW w:w="1920"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1557"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Sum of Squares</w:t>
            </w:r>
          </w:p>
        </w:tc>
        <w:tc>
          <w:tcPr>
            <w:tcW w:w="130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Df</w:t>
            </w:r>
          </w:p>
        </w:tc>
        <w:tc>
          <w:tcPr>
            <w:tcW w:w="114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Mean Square</w:t>
            </w:r>
          </w:p>
        </w:tc>
        <w:tc>
          <w:tcPr>
            <w:tcW w:w="83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F</w:t>
            </w:r>
          </w:p>
        </w:tc>
        <w:tc>
          <w:tcPr>
            <w:tcW w:w="838"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6" w:hRule="atLeast"/>
          <w:jc w:val="center"/>
        </w:trPr>
        <w:tc>
          <w:tcPr>
            <w:tcW w:w="596"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Regression</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5.626</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114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1.406</w:t>
            </w:r>
          </w:p>
        </w:tc>
        <w:tc>
          <w:tcPr>
            <w:tcW w:w="834"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3.263</w:t>
            </w:r>
          </w:p>
        </w:tc>
        <w:tc>
          <w:tcPr>
            <w:tcW w:w="838"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.013</w:t>
            </w:r>
            <w:r>
              <w:rPr>
                <w:rFonts w:hint="eastAsia" w:ascii="Times New Roman" w:hAnsi="Times New Roman" w:cs="Times New Roman"/>
                <w:sz w:val="24"/>
                <w:szCs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2" w:hRule="atLeast"/>
          <w:jc w:val="center"/>
        </w:trPr>
        <w:tc>
          <w:tcPr>
            <w:tcW w:w="59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Residual</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81.898</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190</w:t>
            </w:r>
          </w:p>
        </w:tc>
        <w:tc>
          <w:tcPr>
            <w:tcW w:w="114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.431</w:t>
            </w:r>
          </w:p>
        </w:tc>
        <w:tc>
          <w:tcPr>
            <w:tcW w:w="83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2" w:hRule="atLeast"/>
          <w:jc w:val="center"/>
        </w:trPr>
        <w:tc>
          <w:tcPr>
            <w:tcW w:w="59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Total</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87.524</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194</w:t>
            </w:r>
          </w:p>
        </w:tc>
        <w:tc>
          <w:tcPr>
            <w:tcW w:w="114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bl>
    <w:p>
      <w:pPr>
        <w:autoSpaceDE w:val="0"/>
        <w:autoSpaceDN w:val="0"/>
        <w:adjustRightInd w:val="0"/>
        <w:spacing w:line="360" w:lineRule="auto"/>
        <w:ind w:firstLine="720"/>
        <w:rPr>
          <w:rFonts w:ascii="Times New Roman" w:hAnsi="Times New Roman" w:eastAsia="Calibri" w:cs="Times New Roman"/>
          <w:color w:val="010205"/>
          <w:sz w:val="24"/>
          <w:szCs w:val="24"/>
        </w:rPr>
      </w:pPr>
      <w:r>
        <w:rPr>
          <w:rFonts w:ascii="Times New Roman" w:hAnsi="Times New Roman" w:eastAsia="Calibri" w:cs="Times New Roman"/>
          <w:color w:val="010205"/>
          <w:sz w:val="24"/>
          <w:szCs w:val="24"/>
        </w:rPr>
        <w:t>Sumber : Hasil Pengolahan SPSS 2021</w:t>
      </w:r>
    </w:p>
    <w:p>
      <w:pPr>
        <w:ind w:firstLine="720"/>
        <w:rPr>
          <w:rFonts w:ascii="Times New Roman" w:hAnsi="Times New Roman" w:cs="Times New Roman" w:eastAsiaTheme="minorEastAsia"/>
          <w:sz w:val="24"/>
          <w:szCs w:val="24"/>
        </w:rPr>
      </w:pPr>
      <w:r>
        <w:rPr>
          <w:rFonts w:ascii="Times New Roman" w:hAnsi="Times New Roman" w:cs="Times New Roman"/>
          <w:sz w:val="24"/>
          <w:szCs w:val="24"/>
        </w:rPr>
        <w:t>Penetuan kriteria uji juga dapat dilakukan dengan membandingkan n ilai signifikan untuk F-hitung yang diperoleh dengan nilai alpha yang digunakan. Jika nilai signifikan lebih kecil dari nilai alpha maka Ho diterima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Berdasarkan tabel di atas didapat nilai Fhitung penelitian sebesar </w:t>
      </w:r>
      <w:r>
        <w:rPr>
          <w:rFonts w:ascii="Times New Roman" w:hAnsi="Times New Roman" w:cs="Times New Roman"/>
          <w:color w:val="010205"/>
          <w:sz w:val="24"/>
          <w:szCs w:val="24"/>
        </w:rPr>
        <w:t>3.263</w:t>
      </w:r>
      <w:r>
        <w:rPr>
          <w:rFonts w:ascii="Times New Roman" w:hAnsi="Times New Roman" w:cs="Times New Roman"/>
          <w:sz w:val="24"/>
          <w:szCs w:val="24"/>
        </w:rPr>
        <w:t xml:space="preserve">. Nilai F-tabel pada tingkat signifikansi 5% dan dfl sebesar N- 4 = 191 adalah sebesar </w:t>
      </w:r>
      <w:r>
        <w:rPr>
          <w:rFonts w:ascii="Times New Roman" w:hAnsi="Times New Roman" w:cs="Times New Roman" w:eastAsiaTheme="minorEastAsia"/>
          <w:sz w:val="24"/>
          <w:szCs w:val="24"/>
        </w:rPr>
        <w:t>2.42</w:t>
      </w:r>
      <w:r>
        <w:rPr>
          <w:rFonts w:ascii="Times New Roman" w:hAnsi="Times New Roman" w:cs="Times New Roman"/>
          <w:sz w:val="24"/>
          <w:szCs w:val="24"/>
        </w:rPr>
        <w:t>. Hal ini dilihat pada tingkat signifikan, yakni nilai yang diperoleh dari pengujian lebih besar dari nilai alpha 0.05 (</w:t>
      </w:r>
      <w:r>
        <w:rPr>
          <w:rFonts w:ascii="Times New Roman" w:hAnsi="Times New Roman" w:cs="Times New Roman" w:eastAsiaTheme="minorEastAsia"/>
          <w:sz w:val="24"/>
          <w:szCs w:val="24"/>
        </w:rPr>
        <w:t>0,013 &lt; 0,05) sehingga dapat disimpulkan bahwa secara simultan atau bersama-sama variabel MBVE, CAPBVA, CSR dan Risiko Bisnis berpengaruh terhadap Nilai Perusahaan pada sub sektor perbankan di Bursa Efek Indonesia periode 2015-2019</w:t>
      </w:r>
    </w:p>
    <w:p>
      <w:pPr>
        <w:ind w:firstLine="0"/>
        <w:rPr>
          <w:rFonts w:ascii="Times New Roman" w:hAnsi="Times New Roman" w:cs="Times New Roman"/>
          <w:b/>
          <w:sz w:val="24"/>
          <w:szCs w:val="24"/>
        </w:rPr>
      </w:pPr>
      <w:r>
        <w:rPr>
          <w:rFonts w:ascii="Times New Roman" w:hAnsi="Times New Roman" w:cs="Times New Roman"/>
          <w:b/>
          <w:sz w:val="24"/>
          <w:szCs w:val="24"/>
        </w:rPr>
        <w:t>4.5.2 Uji Statistik Parsial (t)</w:t>
      </w:r>
    </w:p>
    <w:p>
      <w:pPr>
        <w:ind w:firstLine="720"/>
        <w:rPr>
          <w:rFonts w:ascii="Times New Roman" w:hAnsi="Times New Roman"/>
          <w:sz w:val="24"/>
          <w:szCs w:val="24"/>
        </w:rPr>
      </w:pPr>
      <w:r>
        <w:rPr>
          <w:rFonts w:ascii="Times New Roman" w:hAnsi="Times New Roman"/>
          <w:sz w:val="24"/>
          <w:szCs w:val="24"/>
        </w:rPr>
        <w:t xml:space="preserve">Uji t digunakan untuk mengukur signifikansi pengaruh pengambilan keputusan dilakukan berdasarkan perbandingan nilai t hitung masing-masing koefisien regresi dengan t tabel (nilai kritis) sesuai dengan tingkat signifikansi yang digunakan dengan syarat jika nilai Sig.&lt;  0,05 diterima berarti variabel independen mempunyai pengaruh terhadap variabel dependen </w:t>
      </w:r>
      <w:sdt>
        <w:sdtPr>
          <w:rPr>
            <w:rFonts w:ascii="Times New Roman" w:hAnsi="Times New Roman" w:cs="Times New Roman"/>
            <w:sz w:val="24"/>
            <w:szCs w:val="24"/>
          </w:rPr>
          <w:id w:val="260722490"/>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Sar17 \l 1033 </w:instrText>
          </w:r>
          <w:r>
            <w:rPr>
              <w:rFonts w:ascii="Times New Roman" w:hAnsi="Times New Roman" w:cs="Times New Roman"/>
              <w:sz w:val="24"/>
              <w:szCs w:val="24"/>
            </w:rPr>
            <w:fldChar w:fldCharType="separate"/>
          </w:r>
          <w:r>
            <w:rPr>
              <w:rFonts w:ascii="Times New Roman" w:hAnsi="Times New Roman" w:cs="Times New Roman"/>
              <w:sz w:val="24"/>
              <w:szCs w:val="24"/>
            </w:rPr>
            <w:t>(Sartika,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Pr>
          <w:rFonts w:ascii="Times New Roman" w:hAnsi="Times New Roman"/>
          <w:sz w:val="24"/>
          <w:szCs w:val="24"/>
        </w:rPr>
        <w:t xml:space="preserve"> berikut hasil uji statistik parsial (t) yang telah digunakan : </w:t>
      </w:r>
    </w:p>
    <w:p>
      <w:pPr>
        <w:ind w:firstLine="0"/>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TABEL 4.8</w:t>
      </w:r>
    </w:p>
    <w:p>
      <w:pPr>
        <w:ind w:firstLine="0"/>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 xml:space="preserve">Hasil </w:t>
      </w:r>
      <w:r>
        <w:rPr>
          <w:rFonts w:ascii="Times New Roman" w:hAnsi="Times New Roman" w:cs="Times New Roman"/>
          <w:b/>
          <w:sz w:val="24"/>
          <w:szCs w:val="24"/>
        </w:rPr>
        <w:t>Uji Statistik Parsial (t)</w:t>
      </w:r>
    </w:p>
    <w:tbl>
      <w:tblPr>
        <w:tblStyle w:val="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2"/>
        <w:gridCol w:w="1544"/>
        <w:gridCol w:w="1331"/>
        <w:gridCol w:w="1331"/>
        <w:gridCol w:w="1469"/>
        <w:gridCol w:w="1025"/>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8494" w:type="dxa"/>
            <w:gridSpan w:val="7"/>
            <w:tcBorders>
              <w:top w:val="single" w:color="auto" w:sz="4" w:space="0"/>
            </w:tcBorders>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sz w:val="24"/>
                <w:szCs w:val="24"/>
              </w:rPr>
            </w:pPr>
            <w:r>
              <w:rPr>
                <w:rFonts w:hint="eastAsia" w:ascii="Times New Roman" w:hAnsi="Times New Roman" w:cs="Times New Roman"/>
                <w:b/>
                <w:bCs/>
                <w:sz w:val="24"/>
                <w:szCs w:val="24"/>
              </w:rPr>
              <w:t xml:space="preserve"> Coefficients</w:t>
            </w:r>
            <w:r>
              <w:rPr>
                <w:rFonts w:hint="eastAsia" w:ascii="Times New Roman" w:hAnsi="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0" w:hRule="atLeast"/>
          <w:jc w:val="center"/>
        </w:trPr>
        <w:tc>
          <w:tcPr>
            <w:tcW w:w="2276" w:type="dxa"/>
            <w:gridSpan w:val="2"/>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2662"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Unstandardized Coefficients</w:t>
            </w:r>
          </w:p>
        </w:tc>
        <w:tc>
          <w:tcPr>
            <w:tcW w:w="146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Standardized Coefficients</w:t>
            </w:r>
          </w:p>
        </w:tc>
        <w:tc>
          <w:tcPr>
            <w:tcW w:w="1025"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w:t>
            </w:r>
          </w:p>
        </w:tc>
        <w:tc>
          <w:tcPr>
            <w:tcW w:w="1061"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2276" w:type="dxa"/>
            <w:gridSpan w:val="2"/>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31"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w:t>
            </w:r>
          </w:p>
        </w:tc>
        <w:tc>
          <w:tcPr>
            <w:tcW w:w="1331"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Std. Error</w:t>
            </w:r>
          </w:p>
        </w:tc>
        <w:tc>
          <w:tcPr>
            <w:tcW w:w="146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Beta</w:t>
            </w:r>
          </w:p>
        </w:tc>
        <w:tc>
          <w:tcPr>
            <w:tcW w:w="1025"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61"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9" w:hRule="atLeast"/>
          <w:jc w:val="center"/>
        </w:trPr>
        <w:tc>
          <w:tcPr>
            <w:tcW w:w="732"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544"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(Constant)</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-.176</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.151</w:t>
            </w:r>
          </w:p>
        </w:tc>
        <w:tc>
          <w:tcPr>
            <w:tcW w:w="1469"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-1.171</w:t>
            </w:r>
          </w:p>
        </w:tc>
        <w:tc>
          <w:tcPr>
            <w:tcW w:w="106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732"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544"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MBVE</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.055</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.022</w:t>
            </w:r>
          </w:p>
        </w:tc>
        <w:tc>
          <w:tcPr>
            <w:tcW w:w="146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.179</w:t>
            </w:r>
          </w:p>
        </w:tc>
        <w:tc>
          <w:tcPr>
            <w:tcW w:w="10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2.428</w:t>
            </w:r>
          </w:p>
        </w:tc>
        <w:tc>
          <w:tcPr>
            <w:tcW w:w="106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732"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544"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CAPBVA</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-.021</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.020</w:t>
            </w:r>
          </w:p>
        </w:tc>
        <w:tc>
          <w:tcPr>
            <w:tcW w:w="146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-.104</w:t>
            </w:r>
          </w:p>
        </w:tc>
        <w:tc>
          <w:tcPr>
            <w:tcW w:w="10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-1.020</w:t>
            </w:r>
          </w:p>
        </w:tc>
        <w:tc>
          <w:tcPr>
            <w:tcW w:w="106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732"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544"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CSR</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-.038</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.019</w:t>
            </w:r>
          </w:p>
        </w:tc>
        <w:tc>
          <w:tcPr>
            <w:tcW w:w="146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-.141</w:t>
            </w:r>
          </w:p>
        </w:tc>
        <w:tc>
          <w:tcPr>
            <w:tcW w:w="10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-1.999</w:t>
            </w:r>
          </w:p>
        </w:tc>
        <w:tc>
          <w:tcPr>
            <w:tcW w:w="106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732"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544"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RISIKO BISNIS</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.012</w:t>
            </w:r>
          </w:p>
        </w:tc>
        <w:tc>
          <w:tcPr>
            <w:tcW w:w="133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.024</w:t>
            </w:r>
          </w:p>
        </w:tc>
        <w:tc>
          <w:tcPr>
            <w:tcW w:w="146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.049</w:t>
            </w:r>
          </w:p>
        </w:tc>
        <w:tc>
          <w:tcPr>
            <w:tcW w:w="10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.496</w:t>
            </w:r>
          </w:p>
        </w:tc>
        <w:tc>
          <w:tcPr>
            <w:tcW w:w="106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.621</w:t>
            </w:r>
          </w:p>
        </w:tc>
      </w:tr>
    </w:tbl>
    <w:p>
      <w:pPr>
        <w:autoSpaceDE w:val="0"/>
        <w:autoSpaceDN w:val="0"/>
        <w:adjustRightInd w:val="0"/>
        <w:spacing w:line="360" w:lineRule="auto"/>
        <w:ind w:firstLine="720"/>
        <w:rPr>
          <w:rFonts w:ascii="Times New Roman" w:hAnsi="Times New Roman" w:eastAsia="Calibri" w:cs="Times New Roman"/>
          <w:sz w:val="24"/>
          <w:szCs w:val="24"/>
        </w:rPr>
      </w:pPr>
      <w:r>
        <w:rPr>
          <w:rFonts w:ascii="Times New Roman" w:hAnsi="Times New Roman" w:eastAsia="Calibri" w:cs="Times New Roman"/>
          <w:color w:val="010205"/>
          <w:sz w:val="24"/>
          <w:szCs w:val="24"/>
        </w:rPr>
        <w:t>Sumber : Hasil Pengolahan SPSS 26</w:t>
      </w:r>
    </w:p>
    <w:p>
      <w:pPr>
        <w:ind w:firstLine="0"/>
        <w:rPr>
          <w:rFonts w:ascii="Times New Roman" w:hAnsi="Times New Roman" w:cs="Times New Roman"/>
          <w:sz w:val="24"/>
          <w:szCs w:val="24"/>
        </w:rPr>
      </w:pPr>
      <w:r>
        <w:rPr>
          <w:rFonts w:ascii="Times New Roman" w:hAnsi="Times New Roman" w:cs="Times New Roman"/>
          <w:sz w:val="24"/>
          <w:szCs w:val="24"/>
        </w:rPr>
        <w:t>Berdasarkan hasil uji parsial dapat disimpulkan sebagai berikut ini:</w:t>
      </w:r>
    </w:p>
    <w:p>
      <w:pPr>
        <w:ind w:firstLine="720"/>
        <w:rPr>
          <w:rFonts w:ascii="Times New Roman" w:hAnsi="Times New Roman" w:cs="Times New Roman"/>
          <w:sz w:val="24"/>
          <w:szCs w:val="24"/>
        </w:rPr>
      </w:pPr>
      <w:r>
        <w:rPr>
          <w:rFonts w:ascii="Times New Roman" w:hAnsi="Times New Roman" w:cs="Times New Roman"/>
          <w:sz w:val="24"/>
          <w:szCs w:val="24"/>
        </w:rPr>
        <w:t xml:space="preserve">Berdasarkan pada tingkat kepercayaan sebesar 95% menunjukkan bahwa MBVE diperoleh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sebesar </w:t>
      </w:r>
      <w:r>
        <w:rPr>
          <w:rFonts w:ascii="Times New Roman" w:hAnsi="Times New Roman" w:cs="Times New Roman"/>
          <w:color w:val="010205"/>
          <w:sz w:val="24"/>
          <w:szCs w:val="24"/>
        </w:rPr>
        <w:t xml:space="preserve">2.428 </w:t>
      </w:r>
      <w:r>
        <w:rPr>
          <w:rFonts w:ascii="Times New Roman" w:hAnsi="Times New Roman" w:cs="Times New Roman" w:eastAsiaTheme="minorEastAsia"/>
          <w:sz w:val="24"/>
          <w:szCs w:val="24"/>
        </w:rPr>
        <w:t xml:space="preserve">dengan probabilitas tingkat signifikan sebesar 0.016 &lt; 0.05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 1.97253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 </w:t>
      </w:r>
      <w:r>
        <w:rPr>
          <w:rFonts w:ascii="Times New Roman" w:hAnsi="Times New Roman" w:cs="Times New Roman"/>
          <w:color w:val="010205"/>
          <w:sz w:val="24"/>
          <w:szCs w:val="24"/>
        </w:rPr>
        <w:t xml:space="preserve">2.428 </w:t>
      </w:r>
      <w:r>
        <w:rPr>
          <w:rFonts w:ascii="Times New Roman" w:hAnsi="Times New Roman" w:cs="Times New Roman"/>
          <w:sz w:val="24"/>
          <w:szCs w:val="24"/>
        </w:rPr>
        <w:t>.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ini bergantung pada jumlah df </w:t>
      </w:r>
      <w:r>
        <w:rPr>
          <w:rFonts w:ascii="Times New Roman" w:hAnsi="Times New Roman" w:cs="Times New Roman"/>
          <w:i/>
          <w:sz w:val="24"/>
          <w:szCs w:val="24"/>
        </w:rPr>
        <w:t>(degree of freedom)</w:t>
      </w:r>
      <w:r>
        <w:rPr>
          <w:rFonts w:ascii="Times New Roman" w:hAnsi="Times New Roman" w:cs="Times New Roman"/>
          <w:sz w:val="24"/>
          <w:szCs w:val="24"/>
        </w:rPr>
        <w:t xml:space="preserve"> atau db (derajat kebebasan) dan tingkat efektif yang digunakan. Data observasi dalam penelitian ini sebanyak 195 data (data time series/tahun sebanyak 5 tahun dikali dengan data cross section 39 sebanyak perusahaan) dengan menggunakan tingkat signifikan 5% dan (df= n-k) 195 -4 - 1 = 190 diperoleh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sebesar </w:t>
      </w:r>
      <w:r>
        <w:rPr>
          <w:rFonts w:ascii="Times New Roman" w:hAnsi="Times New Roman" w:cs="Times New Roman" w:eastAsiaTheme="minorEastAsia"/>
          <w:sz w:val="24"/>
          <w:szCs w:val="24"/>
        </w:rPr>
        <w:t>1.97253.</w:t>
      </w:r>
      <w:r>
        <w:rPr>
          <w:rFonts w:ascii="Times New Roman" w:hAnsi="Times New Roman" w:cs="Times New Roman"/>
          <w:color w:val="010205"/>
          <w:sz w:val="24"/>
          <w:szCs w:val="24"/>
        </w:rPr>
        <w:t xml:space="preserve"> Hal ini menunjukkan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color w:val="010205"/>
          <w:sz w:val="24"/>
          <w:szCs w:val="24"/>
        </w:rPr>
        <w:t xml:space="preserve"> &gt;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oMath>
      <w:r>
        <w:rPr>
          <w:rFonts w:ascii="Times New Roman" w:hAnsi="Times New Roman" w:cs="Times New Roman" w:eastAsiaTheme="minorEastAsia"/>
          <w:sz w:val="24"/>
          <w:szCs w:val="24"/>
        </w:rPr>
        <w:t xml:space="preserve">yang </w:t>
      </w:r>
      <w:r>
        <w:rPr>
          <w:rFonts w:ascii="Times New Roman" w:hAnsi="Times New Roman" w:cs="Times New Roman"/>
          <w:sz w:val="24"/>
          <w:szCs w:val="24"/>
        </w:rPr>
        <w:t xml:space="preserve">H0 diterima. Nilai signifikan untuk variabel </w:t>
      </w:r>
      <w:r>
        <w:rPr>
          <w:rFonts w:ascii="Times New Roman" w:hAnsi="Times New Roman" w:cs="Times New Roman"/>
          <w:i/>
          <w:sz w:val="24"/>
          <w:szCs w:val="24"/>
        </w:rPr>
        <w:t>Market To Book Value Equity</w:t>
      </w:r>
      <w:r>
        <w:rPr>
          <w:rFonts w:ascii="Times New Roman" w:hAnsi="Times New Roman" w:cs="Times New Roman"/>
          <w:sz w:val="24"/>
          <w:szCs w:val="24"/>
        </w:rPr>
        <w:t xml:space="preserve"> (X1) sebesar 0,016 lebih kecil dari nilai signifikan alpha (0.05). Sehingga disimpulkan </w:t>
      </w:r>
      <w:r>
        <w:rPr>
          <w:rFonts w:ascii="Times New Roman" w:hAnsi="Times New Roman" w:cs="Times New Roman"/>
          <w:i/>
          <w:sz w:val="24"/>
          <w:szCs w:val="24"/>
        </w:rPr>
        <w:t>Market To Book Value Equity</w:t>
      </w:r>
      <w:r>
        <w:rPr>
          <w:rFonts w:ascii="Times New Roman" w:hAnsi="Times New Roman" w:cs="Times New Roman"/>
          <w:sz w:val="24"/>
          <w:szCs w:val="24"/>
        </w:rPr>
        <w:t xml:space="preserve"> (X1) berpengaruh signifikan terhadap nilai perusahaan (Y) pada sub sektor perbankan yang terdaftar di Bursa Efek Indonesia.</w:t>
      </w:r>
    </w:p>
    <w:p>
      <w:pPr>
        <w:ind w:firstLine="720"/>
        <w:rPr>
          <w:rFonts w:ascii="Times New Roman" w:hAnsi="Times New Roman" w:cs="Times New Roman"/>
          <w:sz w:val="24"/>
          <w:szCs w:val="24"/>
        </w:rPr>
      </w:pPr>
      <w:r>
        <w:rPr>
          <w:rFonts w:ascii="Times New Roman" w:hAnsi="Times New Roman" w:cs="Times New Roman"/>
          <w:sz w:val="24"/>
          <w:szCs w:val="24"/>
        </w:rPr>
        <w:t xml:space="preserve">Berdasarkan pada tingkat kepercayaan sebesar 95% menunjukkan bahwa </w:t>
      </w:r>
      <w:r>
        <w:rPr>
          <w:rFonts w:ascii="Times New Roman" w:hAnsi="Times New Roman" w:cs="Times New Roman"/>
          <w:i/>
          <w:sz w:val="24"/>
          <w:szCs w:val="24"/>
        </w:rPr>
        <w:t xml:space="preserve">Capital Expenditure To Book Value Assets </w:t>
      </w:r>
      <w:r>
        <w:rPr>
          <w:rFonts w:ascii="Times New Roman" w:hAnsi="Times New Roman" w:cs="Times New Roman"/>
          <w:sz w:val="24"/>
          <w:szCs w:val="24"/>
        </w:rPr>
        <w:t xml:space="preserve">(X2) diperoleh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sebesar </w:t>
      </w:r>
      <w:r>
        <w:rPr>
          <w:rFonts w:ascii="Times New Roman" w:hAnsi="Times New Roman" w:cs="Times New Roman"/>
          <w:color w:val="010205"/>
          <w:sz w:val="24"/>
          <w:szCs w:val="24"/>
        </w:rPr>
        <w:t xml:space="preserve">-1.020 </w:t>
      </w:r>
      <w:r>
        <w:rPr>
          <w:rFonts w:ascii="Times New Roman" w:hAnsi="Times New Roman" w:cs="Times New Roman" w:eastAsiaTheme="minorEastAsia"/>
          <w:sz w:val="24"/>
          <w:szCs w:val="24"/>
        </w:rPr>
        <w:t xml:space="preserve">dengan probabilitas tingkat signifikan sebesar 0,309 &gt; 0.05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 1.97253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 </w:t>
      </w:r>
      <w:r>
        <w:rPr>
          <w:rFonts w:ascii="Times New Roman" w:hAnsi="Times New Roman" w:cs="Times New Roman"/>
          <w:color w:val="010205"/>
          <w:sz w:val="24"/>
          <w:szCs w:val="24"/>
        </w:rPr>
        <w:t xml:space="preserve">2.428 </w:t>
      </w:r>
      <w:r>
        <w:rPr>
          <w:rFonts w:ascii="Times New Roman" w:hAnsi="Times New Roman" w:cs="Times New Roman"/>
          <w:sz w:val="24"/>
          <w:szCs w:val="24"/>
        </w:rPr>
        <w:t>.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ini bergantung pada jumlah df (</w:t>
      </w:r>
      <w:r>
        <w:rPr>
          <w:rFonts w:ascii="Times New Roman" w:hAnsi="Times New Roman" w:cs="Times New Roman"/>
          <w:i/>
          <w:sz w:val="24"/>
          <w:szCs w:val="24"/>
        </w:rPr>
        <w:t>degree of freedom</w:t>
      </w:r>
      <w:r>
        <w:rPr>
          <w:rFonts w:ascii="Times New Roman" w:hAnsi="Times New Roman" w:cs="Times New Roman"/>
          <w:sz w:val="24"/>
          <w:szCs w:val="24"/>
        </w:rPr>
        <w:t>) atau db (derajat kebebasan) dan tingkat efektif yang digunakan. Data observasi dalam penelitian ini sebanyak 195 data (data time series/tahun sebanyak 5 tahun dikali dengan data cross section 39 sebanyak perusahaan) dengan menggunakan tingkat signifikan 5% dan (df= n-k) 195-4-1 = 190 diperoleh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sebesar </w:t>
      </w:r>
      <w:r>
        <w:rPr>
          <w:rFonts w:ascii="Times New Roman" w:hAnsi="Times New Roman" w:cs="Times New Roman" w:eastAsiaTheme="minorEastAsia"/>
          <w:sz w:val="24"/>
          <w:szCs w:val="24"/>
        </w:rPr>
        <w:t>1.97253.</w:t>
      </w:r>
      <w:r>
        <w:rPr>
          <w:rFonts w:ascii="Times New Roman" w:hAnsi="Times New Roman" w:cs="Times New Roman"/>
          <w:color w:val="010205"/>
          <w:sz w:val="24"/>
          <w:szCs w:val="24"/>
        </w:rPr>
        <w:t xml:space="preserve"> Hal ini menunjukkan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w:t>
      </w:r>
      <w:r>
        <w:rPr>
          <w:rFonts w:ascii="Times New Roman" w:hAnsi="Times New Roman" w:cs="Times New Roman"/>
          <w:color w:val="010205"/>
          <w:sz w:val="24"/>
          <w:szCs w:val="24"/>
        </w:rPr>
        <w:t xml:space="preserve"> lebih besar dari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yang artinya </w:t>
      </w:r>
      <w:r>
        <w:rPr>
          <w:rFonts w:ascii="Times New Roman" w:hAnsi="Times New Roman" w:cs="Times New Roman"/>
          <w:sz w:val="24"/>
          <w:szCs w:val="24"/>
        </w:rPr>
        <w:t xml:space="preserve">H0 diterima. Nilai signifikan untuk variabel </w:t>
      </w:r>
      <w:r>
        <w:rPr>
          <w:rFonts w:ascii="Times New Roman" w:hAnsi="Times New Roman" w:cs="Times New Roman"/>
          <w:i/>
          <w:sz w:val="24"/>
          <w:szCs w:val="24"/>
        </w:rPr>
        <w:t>Capital Expenditure To Book Value Assets</w:t>
      </w:r>
      <w:r>
        <w:rPr>
          <w:rFonts w:ascii="Times New Roman" w:hAnsi="Times New Roman" w:cs="Times New Roman"/>
          <w:sz w:val="24"/>
          <w:szCs w:val="24"/>
        </w:rPr>
        <w:t xml:space="preserve"> (X2) sebesar </w:t>
      </w:r>
      <w:r>
        <w:rPr>
          <w:rFonts w:ascii="Times New Roman" w:hAnsi="Times New Roman" w:cs="Times New Roman" w:eastAsiaTheme="minorEastAsia"/>
          <w:sz w:val="24"/>
          <w:szCs w:val="24"/>
        </w:rPr>
        <w:t xml:space="preserve">0,309 </w:t>
      </w:r>
      <w:r>
        <w:rPr>
          <w:rFonts w:ascii="Times New Roman" w:hAnsi="Times New Roman" w:cs="Times New Roman"/>
          <w:sz w:val="24"/>
          <w:szCs w:val="24"/>
        </w:rPr>
        <w:t xml:space="preserve">lebih besar dari nilai signifikan alpha (0.05). Sehingga disimpulkan </w:t>
      </w:r>
      <w:r>
        <w:rPr>
          <w:rFonts w:ascii="Times New Roman" w:hAnsi="Times New Roman" w:cs="Times New Roman"/>
          <w:i/>
          <w:sz w:val="24"/>
          <w:szCs w:val="24"/>
        </w:rPr>
        <w:t xml:space="preserve">Capital Expenditure To Book Value Assets </w:t>
      </w:r>
      <w:r>
        <w:rPr>
          <w:rFonts w:ascii="Times New Roman" w:hAnsi="Times New Roman" w:cs="Times New Roman"/>
          <w:sz w:val="24"/>
          <w:szCs w:val="24"/>
        </w:rPr>
        <w:t>(X2) tidak berpengaruh dan signifikan terhadap nilai perusahaan (Y) pada sub sektor perbankan yang terdaftar di Bursa Efek Indonesia.</w:t>
      </w:r>
    </w:p>
    <w:p>
      <w:pPr>
        <w:ind w:firstLine="720"/>
        <w:rPr>
          <w:rFonts w:ascii="Times New Roman" w:hAnsi="Times New Roman" w:cs="Times New Roman"/>
          <w:sz w:val="24"/>
          <w:szCs w:val="24"/>
        </w:rPr>
      </w:pPr>
      <w:r>
        <w:rPr>
          <w:rFonts w:ascii="Times New Roman" w:hAnsi="Times New Roman" w:cs="Times New Roman"/>
          <w:sz w:val="24"/>
          <w:szCs w:val="24"/>
        </w:rPr>
        <w:t xml:space="preserve"> Berdasarkan pada tingkat kepercayaan sebesar 95% menunjukkan bahwa analisis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untuk variabel </w:t>
      </w:r>
      <w:r>
        <w:rPr>
          <w:rFonts w:ascii="Times New Roman" w:hAnsi="Times New Roman" w:cs="Times New Roman"/>
          <w:i/>
          <w:iCs/>
          <w:sz w:val="24"/>
          <w:szCs w:val="24"/>
        </w:rPr>
        <w:t>corrporate social responbility</w:t>
      </w:r>
      <w:r>
        <w:rPr>
          <w:rFonts w:ascii="Times New Roman" w:hAnsi="Times New Roman" w:cs="Times New Roman"/>
          <w:iCs/>
          <w:sz w:val="24"/>
          <w:szCs w:val="24"/>
        </w:rPr>
        <w:t xml:space="preserve"> </w:t>
      </w:r>
      <w:r>
        <w:rPr>
          <w:rFonts w:ascii="Times New Roman" w:hAnsi="Times New Roman" w:cs="Times New Roman"/>
          <w:sz w:val="24"/>
          <w:szCs w:val="24"/>
        </w:rPr>
        <w:t xml:space="preserve">(X3) yang terdiri sebesar </w:t>
      </w:r>
      <w:r>
        <w:rPr>
          <w:rFonts w:ascii="Times New Roman" w:hAnsi="Times New Roman" w:cs="Times New Roman" w:eastAsiaTheme="minorEastAsia"/>
          <w:sz w:val="24"/>
          <w:szCs w:val="24"/>
        </w:rPr>
        <w:t>1.990</w:t>
      </w:r>
      <w:r>
        <w:rPr>
          <w:rFonts w:ascii="Times New Roman" w:hAnsi="Times New Roman" w:cs="Times New Roman"/>
          <w:color w:val="010205"/>
          <w:sz w:val="24"/>
          <w:szCs w:val="24"/>
        </w:rPr>
        <w:t xml:space="preserve"> </w:t>
      </w:r>
      <w:r>
        <w:rPr>
          <w:rFonts w:ascii="Times New Roman" w:hAnsi="Times New Roman" w:cs="Times New Roman"/>
          <w:sz w:val="24"/>
          <w:szCs w:val="24"/>
        </w:rPr>
        <w:t xml:space="preserve">dibandingkan dengan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sz w:val="24"/>
          <w:szCs w:val="24"/>
        </w:rPr>
        <w:t xml:space="preserve"> </w:t>
      </w:r>
      <w:r>
        <w:rPr>
          <w:rFonts w:ascii="Times New Roman" w:hAnsi="Times New Roman" w:cs="Times New Roman" w:eastAsiaTheme="minorEastAsia"/>
          <w:sz w:val="24"/>
          <w:szCs w:val="24"/>
        </w:rPr>
        <w:t>1.97253</w:t>
      </w:r>
      <w:r>
        <w:rPr>
          <w:rFonts w:ascii="Times New Roman" w:hAnsi="Times New Roman" w:cs="Times New Roman"/>
          <w:sz w:val="24"/>
          <w:szCs w:val="24"/>
        </w:rPr>
        <w:t>.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ini bergantung pada jumlah df (</w:t>
      </w:r>
      <w:r>
        <w:rPr>
          <w:rFonts w:ascii="Times New Roman" w:hAnsi="Times New Roman" w:cs="Times New Roman"/>
          <w:i/>
          <w:iCs/>
          <w:sz w:val="24"/>
          <w:szCs w:val="24"/>
        </w:rPr>
        <w:t>degree of freedom</w:t>
      </w:r>
      <w:r>
        <w:rPr>
          <w:rFonts w:ascii="Times New Roman" w:hAnsi="Times New Roman" w:cs="Times New Roman"/>
          <w:sz w:val="24"/>
          <w:szCs w:val="24"/>
        </w:rPr>
        <w:t xml:space="preserve">) atau db (derajat kebebasan) dan tingkat efektif yang digunakan. Data observasi dalam penelitian ini sebanyak 195 data (data time series/tahun sebanyak 5 tahun dikali dengan data </w:t>
      </w:r>
      <w:r>
        <w:rPr>
          <w:rFonts w:ascii="Times New Roman" w:hAnsi="Times New Roman" w:cs="Times New Roman"/>
          <w:i/>
          <w:iCs/>
          <w:sz w:val="24"/>
          <w:szCs w:val="24"/>
        </w:rPr>
        <w:t>cross section</w:t>
      </w:r>
      <w:r>
        <w:rPr>
          <w:rFonts w:ascii="Times New Roman" w:hAnsi="Times New Roman" w:cs="Times New Roman"/>
          <w:sz w:val="24"/>
          <w:szCs w:val="24"/>
        </w:rPr>
        <w:t xml:space="preserve"> sebanyak 39 perusahaan) dengan menggunakan tingkat signifikan 5% dan nilai df sebesar n-k-1 = 195-4-1 = 190 diperoleh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sebesar </w:t>
      </w:r>
      <w:r>
        <w:rPr>
          <w:rFonts w:ascii="Times New Roman" w:hAnsi="Times New Roman" w:cs="Times New Roman" w:eastAsiaTheme="minorEastAsia"/>
          <w:sz w:val="24"/>
          <w:szCs w:val="24"/>
        </w:rPr>
        <w:t>1.97253</w:t>
      </w:r>
      <w:r>
        <w:rPr>
          <w:rFonts w:ascii="Times New Roman" w:hAnsi="Times New Roman" w:cs="Times New Roman"/>
          <w:sz w:val="24"/>
          <w:szCs w:val="24"/>
        </w:rPr>
        <w:t>. Maka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lebih kecil dari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sehingga H0 ditolak. Nilai signifikan untuk variabel </w:t>
      </w:r>
      <w:r>
        <w:rPr>
          <w:rFonts w:ascii="Times New Roman" w:hAnsi="Times New Roman" w:cs="Times New Roman"/>
          <w:i/>
          <w:iCs/>
          <w:sz w:val="24"/>
          <w:szCs w:val="24"/>
        </w:rPr>
        <w:t>corrporate social responbility</w:t>
      </w:r>
      <w:r>
        <w:rPr>
          <w:rFonts w:ascii="Times New Roman" w:hAnsi="Times New Roman" w:cs="Times New Roman"/>
          <w:iCs/>
          <w:sz w:val="24"/>
          <w:szCs w:val="24"/>
        </w:rPr>
        <w:t xml:space="preserve"> </w:t>
      </w:r>
      <w:r>
        <w:rPr>
          <w:rFonts w:ascii="Times New Roman" w:hAnsi="Times New Roman" w:cs="Times New Roman"/>
          <w:sz w:val="24"/>
          <w:szCs w:val="24"/>
        </w:rPr>
        <w:t xml:space="preserve">(X3) sebesar </w:t>
      </w:r>
      <w:r>
        <w:rPr>
          <w:rFonts w:ascii="Times New Roman" w:hAnsi="Times New Roman" w:cs="Times New Roman" w:eastAsiaTheme="minorEastAsia"/>
          <w:sz w:val="24"/>
          <w:szCs w:val="24"/>
        </w:rPr>
        <w:t>0</w:t>
      </w:r>
      <w:r>
        <w:rPr>
          <w:rFonts w:ascii="Times New Roman" w:hAnsi="Times New Roman" w:cs="Times New Roman"/>
          <w:color w:val="010205"/>
          <w:sz w:val="24"/>
          <w:szCs w:val="24"/>
        </w:rPr>
        <w:t>.47</w:t>
      </w:r>
      <w:r>
        <w:rPr>
          <w:rFonts w:ascii="Times New Roman" w:hAnsi="Times New Roman" w:cs="Times New Roman" w:eastAsiaTheme="minorEastAsia"/>
          <w:sz w:val="24"/>
          <w:szCs w:val="24"/>
        </w:rPr>
        <w:t xml:space="preserve"> </w:t>
      </w:r>
      <w:r>
        <w:rPr>
          <w:rFonts w:ascii="Times New Roman" w:hAnsi="Times New Roman" w:cs="Times New Roman"/>
          <w:sz w:val="24"/>
          <w:szCs w:val="24"/>
        </w:rPr>
        <w:t xml:space="preserve">lebih kecil dari nilai signifikan alpha (0.05). Sehingga disimpulkan bahwa </w:t>
      </w:r>
      <w:r>
        <w:rPr>
          <w:rFonts w:ascii="Times New Roman" w:hAnsi="Times New Roman" w:cs="Times New Roman"/>
          <w:i/>
          <w:iCs/>
          <w:sz w:val="24"/>
          <w:szCs w:val="24"/>
        </w:rPr>
        <w:t>corporate social</w:t>
      </w:r>
      <w:r>
        <w:rPr>
          <w:rFonts w:ascii="Times New Roman" w:hAnsi="Times New Roman" w:cs="Times New Roman"/>
          <w:sz w:val="24"/>
          <w:szCs w:val="24"/>
        </w:rPr>
        <w:t xml:space="preserve"> </w:t>
      </w:r>
      <w:r>
        <w:rPr>
          <w:rFonts w:ascii="Times New Roman" w:hAnsi="Times New Roman" w:cs="Times New Roman"/>
          <w:i/>
          <w:sz w:val="24"/>
          <w:szCs w:val="24"/>
        </w:rPr>
        <w:t xml:space="preserve">responbility </w:t>
      </w:r>
      <w:r>
        <w:rPr>
          <w:rFonts w:ascii="Times New Roman" w:hAnsi="Times New Roman" w:cs="Times New Roman"/>
          <w:sz w:val="24"/>
          <w:szCs w:val="24"/>
        </w:rPr>
        <w:t>berpengaruh signifikan terhadap nilai perusahaan (Y) pada sub sektor perbankan yang terdaftar di Bursa Efek Indonesia.</w:t>
      </w:r>
    </w:p>
    <w:p>
      <w:pPr>
        <w:ind w:firstLine="720"/>
        <w:rPr>
          <w:rFonts w:ascii="Times New Roman" w:hAnsi="Times New Roman" w:cs="Times New Roman"/>
          <w:sz w:val="24"/>
          <w:szCs w:val="24"/>
        </w:rPr>
      </w:pPr>
      <w:r>
        <w:rPr>
          <w:rFonts w:ascii="Times New Roman" w:hAnsi="Times New Roman" w:cs="Times New Roman"/>
          <w:sz w:val="24"/>
          <w:szCs w:val="24"/>
        </w:rPr>
        <w:t>Berdasarkan pada tingkat kepercayaan sebesar 95% menunjukkan bahwa analisis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untuk variabel </w:t>
      </w:r>
      <w:r>
        <w:rPr>
          <w:rFonts w:ascii="Times New Roman" w:hAnsi="Times New Roman" w:cs="Times New Roman"/>
          <w:iCs/>
          <w:sz w:val="24"/>
          <w:szCs w:val="24"/>
        </w:rPr>
        <w:t>risiko bisnis</w:t>
      </w:r>
      <w:r>
        <w:rPr>
          <w:rFonts w:ascii="Times New Roman" w:hAnsi="Times New Roman" w:cs="Times New Roman"/>
          <w:sz w:val="24"/>
          <w:szCs w:val="24"/>
        </w:rPr>
        <w:t xml:space="preserve"> (X4) yang terdiri sebesar </w:t>
      </w:r>
      <w:r>
        <w:rPr>
          <w:rFonts w:ascii="Times New Roman" w:hAnsi="Times New Roman" w:cs="Times New Roman" w:eastAsiaTheme="minorEastAsia"/>
          <w:sz w:val="24"/>
          <w:szCs w:val="24"/>
        </w:rPr>
        <w:t>0</w:t>
      </w:r>
      <w:r>
        <w:rPr>
          <w:rFonts w:ascii="Times New Roman" w:hAnsi="Times New Roman" w:cs="Times New Roman"/>
          <w:color w:val="010205"/>
          <w:sz w:val="24"/>
          <w:szCs w:val="24"/>
        </w:rPr>
        <w:t xml:space="preserve">.496 </w:t>
      </w:r>
      <w:r>
        <w:rPr>
          <w:rFonts w:ascii="Times New Roman" w:hAnsi="Times New Roman" w:cs="Times New Roman"/>
          <w:sz w:val="24"/>
          <w:szCs w:val="24"/>
        </w:rPr>
        <w:t xml:space="preserve">dibandingkan dengan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sz w:val="24"/>
          <w:szCs w:val="24"/>
        </w:rPr>
        <w:t xml:space="preserve"> </w:t>
      </w:r>
      <w:r>
        <w:rPr>
          <w:rFonts w:ascii="Times New Roman" w:hAnsi="Times New Roman" w:cs="Times New Roman" w:eastAsiaTheme="minorEastAsia"/>
          <w:sz w:val="24"/>
          <w:szCs w:val="24"/>
        </w:rPr>
        <w:t>1.97253</w:t>
      </w:r>
      <w:r>
        <w:rPr>
          <w:rFonts w:ascii="Times New Roman" w:hAnsi="Times New Roman" w:cs="Times New Roman"/>
          <w:sz w:val="24"/>
          <w:szCs w:val="24"/>
        </w:rPr>
        <w:t>.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ini bergantung pada jumlah df (</w:t>
      </w:r>
      <w:r>
        <w:rPr>
          <w:rFonts w:ascii="Times New Roman" w:hAnsi="Times New Roman" w:cs="Times New Roman"/>
          <w:i/>
          <w:iCs/>
          <w:sz w:val="24"/>
          <w:szCs w:val="24"/>
        </w:rPr>
        <w:t>degree of freedom</w:t>
      </w:r>
      <w:r>
        <w:rPr>
          <w:rFonts w:ascii="Times New Roman" w:hAnsi="Times New Roman" w:cs="Times New Roman"/>
          <w:sz w:val="24"/>
          <w:szCs w:val="24"/>
        </w:rPr>
        <w:t xml:space="preserve">) atau db (derajat kebebasan) dan tingkat efektif yang digunakan. Data observasi dalam penelitian ini sebanyak 195 data (data time series/tahun sebanyak 5 tahun dikali dengan data </w:t>
      </w:r>
      <w:r>
        <w:rPr>
          <w:rFonts w:ascii="Times New Roman" w:hAnsi="Times New Roman" w:cs="Times New Roman"/>
          <w:i/>
          <w:iCs/>
          <w:sz w:val="24"/>
          <w:szCs w:val="24"/>
        </w:rPr>
        <w:t>cross section</w:t>
      </w:r>
      <w:r>
        <w:rPr>
          <w:rFonts w:ascii="Times New Roman" w:hAnsi="Times New Roman" w:cs="Times New Roman"/>
          <w:sz w:val="24"/>
          <w:szCs w:val="24"/>
        </w:rPr>
        <w:t xml:space="preserve"> sebanyak 39 perusahaan) dengan menggunakan tingkat signifikan 5% dan nilai df sebesar n-k-1 = 195-4-1 = 190 diperoleh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sebesar </w:t>
      </w:r>
      <w:r>
        <w:rPr>
          <w:rFonts w:ascii="Times New Roman" w:hAnsi="Times New Roman" w:cs="Times New Roman" w:eastAsiaTheme="minorEastAsia"/>
          <w:sz w:val="24"/>
          <w:szCs w:val="24"/>
        </w:rPr>
        <w:t>1.97253</w:t>
      </w:r>
      <w:r>
        <w:rPr>
          <w:rFonts w:ascii="Times New Roman" w:hAnsi="Times New Roman" w:cs="Times New Roman"/>
          <w:sz w:val="24"/>
          <w:szCs w:val="24"/>
        </w:rPr>
        <w:t>. Maka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lebih kecil dari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sehingga H0 ditolak. Nilai signifikan untuk variabel (X4) sebesar </w:t>
      </w:r>
      <w:r>
        <w:rPr>
          <w:rFonts w:ascii="Times New Roman" w:hAnsi="Times New Roman" w:cs="Times New Roman" w:eastAsiaTheme="minorEastAsia"/>
          <w:sz w:val="24"/>
          <w:szCs w:val="24"/>
        </w:rPr>
        <w:t>0</w:t>
      </w:r>
      <w:r>
        <w:rPr>
          <w:rFonts w:ascii="Times New Roman" w:hAnsi="Times New Roman" w:cs="Times New Roman"/>
          <w:color w:val="010205"/>
          <w:sz w:val="24"/>
          <w:szCs w:val="24"/>
        </w:rPr>
        <w:t>.621</w:t>
      </w:r>
      <w:r>
        <w:rPr>
          <w:rFonts w:ascii="Times New Roman" w:hAnsi="Times New Roman" w:cs="Times New Roman" w:eastAsiaTheme="minorEastAsia"/>
          <w:sz w:val="24"/>
          <w:szCs w:val="24"/>
        </w:rPr>
        <w:t xml:space="preserve"> </w:t>
      </w:r>
      <w:r>
        <w:rPr>
          <w:rFonts w:ascii="Times New Roman" w:hAnsi="Times New Roman" w:cs="Times New Roman"/>
          <w:sz w:val="24"/>
          <w:szCs w:val="24"/>
        </w:rPr>
        <w:t xml:space="preserve">lebih kecil dari nilai signifikan alpha (0.05). Sehingga disimpulkan bahwa </w:t>
      </w:r>
      <w:r>
        <w:rPr>
          <w:rFonts w:ascii="Times New Roman" w:hAnsi="Times New Roman" w:cs="Times New Roman"/>
          <w:iCs/>
          <w:sz w:val="24"/>
          <w:szCs w:val="24"/>
        </w:rPr>
        <w:t>risiko bisnis tidak</w:t>
      </w:r>
      <w:r>
        <w:rPr>
          <w:rFonts w:ascii="Times New Roman" w:hAnsi="Times New Roman" w:cs="Times New Roman"/>
          <w:sz w:val="24"/>
          <w:szCs w:val="24"/>
        </w:rPr>
        <w:t xml:space="preserve"> berpengaruh signifikan terhadap nilai perusahaan (Y) pada sub sektor perbankan yang terdaftar di Bursa Efek Indonesia.</w:t>
      </w:r>
    </w:p>
    <w:p>
      <w:pPr>
        <w:ind w:firstLine="720"/>
        <w:rPr>
          <w:rFonts w:ascii="Times New Roman" w:hAnsi="Times New Roman" w:cs="Times New Roman"/>
          <w:sz w:val="24"/>
          <w:szCs w:val="24"/>
        </w:rPr>
      </w:pPr>
    </w:p>
    <w:p>
      <w:pPr>
        <w:ind w:firstLine="720"/>
        <w:rPr>
          <w:rFonts w:ascii="Times New Roman" w:hAnsi="Times New Roman" w:cs="Times New Roman"/>
          <w:sz w:val="24"/>
          <w:szCs w:val="24"/>
        </w:rPr>
      </w:pPr>
    </w:p>
    <w:p>
      <w:pPr>
        <w:ind w:firstLine="0"/>
        <w:rPr>
          <w:rFonts w:ascii="Times New Roman" w:hAnsi="Times New Roman" w:cs="Times New Roman"/>
          <w:b/>
          <w:sz w:val="24"/>
          <w:szCs w:val="24"/>
        </w:rPr>
      </w:pPr>
      <w:r>
        <w:rPr>
          <w:rFonts w:ascii="Times New Roman" w:hAnsi="Times New Roman" w:cs="Times New Roman"/>
          <w:b/>
          <w:sz w:val="24"/>
          <w:szCs w:val="24"/>
        </w:rPr>
        <w:t>4.6 PEMBAHASAN</w:t>
      </w:r>
    </w:p>
    <w:p>
      <w:pPr>
        <w:ind w:firstLine="720"/>
        <w:rPr>
          <w:rFonts w:ascii="Times New Roman" w:hAnsi="Times New Roman" w:cs="Times New Roman"/>
          <w:sz w:val="24"/>
          <w:szCs w:val="24"/>
        </w:rPr>
      </w:pPr>
      <w:r>
        <w:rPr>
          <w:rFonts w:ascii="Times New Roman" w:hAnsi="Times New Roman" w:cs="Times New Roman"/>
          <w:sz w:val="24"/>
          <w:szCs w:val="24"/>
        </w:rPr>
        <w:t>Berdasarkan hasil pengolahan data yang dilakukan pada 39 perusahaan dari tahun 2015-2019 yang dari variabel Invesment Oportunity Set yang terdiri dari ( MBVE, CAPBVA) dan Corporate Social Responbility yang terdiri dari CSRDI serta Risiko bisnis yang terdiri dari BRISK dapat disimpulkan sebagai berikut :</w:t>
      </w:r>
    </w:p>
    <w:p>
      <w:pPr>
        <w:ind w:firstLine="0"/>
        <w:rPr>
          <w:rFonts w:ascii="Times New Roman" w:hAnsi="Times New Roman" w:cs="Times New Roman"/>
          <w:b/>
          <w:sz w:val="24"/>
          <w:szCs w:val="24"/>
        </w:rPr>
      </w:pPr>
      <w:r>
        <w:rPr>
          <w:rFonts w:ascii="Times New Roman" w:hAnsi="Times New Roman" w:cs="Times New Roman"/>
          <w:b/>
          <w:sz w:val="24"/>
          <w:szCs w:val="24"/>
        </w:rPr>
        <w:t xml:space="preserve">4.6.1 Pengaruh </w:t>
      </w:r>
      <w:r>
        <w:rPr>
          <w:rFonts w:ascii="Times New Roman" w:hAnsi="Times New Roman" w:cs="Times New Roman"/>
          <w:b/>
          <w:i/>
          <w:sz w:val="24"/>
          <w:szCs w:val="24"/>
        </w:rPr>
        <w:t>Invesment Oportunity Set</w:t>
      </w:r>
      <w:r>
        <w:rPr>
          <w:rFonts w:ascii="Times New Roman" w:hAnsi="Times New Roman" w:cs="Times New Roman"/>
          <w:b/>
          <w:sz w:val="24"/>
          <w:szCs w:val="24"/>
        </w:rPr>
        <w:t xml:space="preserve"> yang terdiri dari </w:t>
      </w:r>
      <w:r>
        <w:rPr>
          <w:rFonts w:ascii="Times New Roman" w:hAnsi="Times New Roman" w:cs="Times New Roman"/>
          <w:b/>
          <w:i/>
          <w:sz w:val="24"/>
          <w:szCs w:val="24"/>
        </w:rPr>
        <w:t>Market To Book Value Equity</w:t>
      </w:r>
      <w:r>
        <w:rPr>
          <w:rFonts w:ascii="Times New Roman" w:hAnsi="Times New Roman" w:cs="Times New Roman"/>
          <w:sz w:val="24"/>
          <w:szCs w:val="24"/>
        </w:rPr>
        <w:t xml:space="preserve"> </w:t>
      </w:r>
      <w:r>
        <w:rPr>
          <w:rFonts w:ascii="Times New Roman" w:hAnsi="Times New Roman" w:cs="Times New Roman"/>
          <w:b/>
          <w:sz w:val="24"/>
          <w:szCs w:val="24"/>
        </w:rPr>
        <w:t>Terhadap Nilai Perusahaan</w:t>
      </w:r>
    </w:p>
    <w:p>
      <w:pPr>
        <w:ind w:firstLine="720"/>
        <w:rPr>
          <w:rFonts w:ascii="Times New Roman" w:hAnsi="Times New Roman" w:eastAsia="Times New Roman" w:cs="Times New Roman"/>
          <w:sz w:val="24"/>
          <w:szCs w:val="24"/>
        </w:rPr>
      </w:pPr>
      <w:r>
        <w:rPr>
          <w:rFonts w:ascii="Times New Roman" w:hAnsi="Times New Roman" w:cs="Times New Roman"/>
          <w:sz w:val="24"/>
          <w:szCs w:val="24"/>
        </w:rPr>
        <w:t>Hasil Penelitian secara</w:t>
      </w:r>
      <w:r>
        <w:rPr>
          <w:rFonts w:ascii="Times New Roman" w:hAnsi="Times New Roman" w:cs="Times New Roman"/>
          <w:i/>
          <w:sz w:val="24"/>
          <w:szCs w:val="24"/>
        </w:rPr>
        <w:t xml:space="preserve"> statistic</w:t>
      </w:r>
      <w:r>
        <w:rPr>
          <w:rFonts w:ascii="Times New Roman" w:hAnsi="Times New Roman" w:cs="Times New Roman"/>
          <w:sz w:val="24"/>
          <w:szCs w:val="24"/>
        </w:rPr>
        <w:t xml:space="preserve"> variabel </w:t>
      </w:r>
      <w:r>
        <w:rPr>
          <w:rFonts w:ascii="Times New Roman" w:hAnsi="Times New Roman" w:cs="Times New Roman"/>
          <w:i/>
          <w:sz w:val="24"/>
          <w:szCs w:val="24"/>
        </w:rPr>
        <w:t>Invesment Oportunity Set</w:t>
      </w:r>
      <w:r>
        <w:rPr>
          <w:rFonts w:ascii="Times New Roman" w:hAnsi="Times New Roman" w:cs="Times New Roman"/>
          <w:sz w:val="24"/>
          <w:szCs w:val="24"/>
        </w:rPr>
        <w:t xml:space="preserve">  yang diukur dengan </w:t>
      </w:r>
      <w:r>
        <w:rPr>
          <w:rFonts w:ascii="Times New Roman" w:hAnsi="Times New Roman" w:cs="Times New Roman"/>
          <w:i/>
          <w:sz w:val="24"/>
          <w:szCs w:val="24"/>
        </w:rPr>
        <w:t>Market To Book Value Equity</w:t>
      </w:r>
      <w:r>
        <w:rPr>
          <w:rFonts w:ascii="Times New Roman" w:hAnsi="Times New Roman" w:cs="Times New Roman"/>
          <w:sz w:val="24"/>
          <w:szCs w:val="24"/>
        </w:rPr>
        <w:t xml:space="preserve"> ( MBVE)  yang ditunjukkan pada  tabel 4.8 dengan nilai signifikan sebesar </w:t>
      </w:r>
      <w:r>
        <w:rPr>
          <w:rFonts w:ascii="Times New Roman" w:hAnsi="Times New Roman" w:cs="Times New Roman" w:eastAsiaTheme="minorEastAsia"/>
          <w:sz w:val="24"/>
          <w:szCs w:val="24"/>
        </w:rPr>
        <w:t>0,016 &lt; 0,05 dan</w:t>
      </w:r>
      <w:r>
        <w:rPr>
          <w:rFonts w:ascii="Times New Roman" w:hAnsi="Times New Roman" w:cs="Times New Roman"/>
          <w:color w:val="010205"/>
          <w:sz w:val="24"/>
          <w:szCs w:val="24"/>
        </w:rPr>
        <w:t xml:space="preserve"> nilai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ctrlPr>
              <w:rPr>
                <w:rFonts w:ascii="Cambria Math" w:hAnsi="Times New Roman" w:cs="Times New Roman"/>
                <w:sz w:val="24"/>
                <w:szCs w:val="24"/>
              </w:rPr>
            </m:ctrlPr>
          </m:e>
          <m:sub>
            <m:r>
              <m:rPr>
                <m:sty m:val="p"/>
              </m:rPr>
              <w:rPr>
                <w:rFonts w:ascii="Cambria Math" w:hAnsi="Times New Roman" w:cs="Times New Roman"/>
                <w:sz w:val="24"/>
                <w:szCs w:val="24"/>
              </w:rPr>
              <m:t>hitung</m:t>
            </m:r>
            <m:ctrlPr>
              <w:rPr>
                <w:rFonts w:ascii="Cambria Math" w:hAnsi="Times New Roman" w:cs="Times New Roman"/>
                <w:sz w:val="24"/>
                <w:szCs w:val="24"/>
              </w:rPr>
            </m:ctrlPr>
          </m:sub>
        </m:sSub>
      </m:oMath>
      <w:r>
        <w:rPr>
          <w:rFonts w:ascii="Times New Roman" w:hAnsi="Times New Roman" w:cs="Times New Roman"/>
          <w:color w:val="010205"/>
          <w:sz w:val="24"/>
          <w:szCs w:val="24"/>
        </w:rPr>
        <w:t xml:space="preserve"> &gt;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ctrlPr>
              <w:rPr>
                <w:rFonts w:ascii="Cambria Math" w:hAnsi="Times New Roman" w:cs="Times New Roman"/>
                <w:sz w:val="24"/>
                <w:szCs w:val="24"/>
              </w:rPr>
            </m:ctrlPr>
          </m:e>
          <m:sub>
            <m:r>
              <m:rPr>
                <m:sty m:val="p"/>
              </m:rPr>
              <w:rPr>
                <w:rFonts w:ascii="Cambria Math" w:hAnsi="Times New Roman" w:cs="Times New Roman"/>
                <w:sz w:val="24"/>
                <w:szCs w:val="24"/>
              </w:rPr>
              <m:t>tabel</m:t>
            </m:r>
            <m:ctrlPr>
              <w:rPr>
                <w:rFonts w:ascii="Cambria Math" w:hAnsi="Times New Roman" w:cs="Times New Roman"/>
                <w:sz w:val="24"/>
                <w:szCs w:val="24"/>
              </w:rPr>
            </m:ctrlPr>
          </m:sub>
        </m:sSub>
        <m:r>
          <m:rPr>
            <m:sty m:val="p"/>
          </m:rPr>
          <w:rPr>
            <w:rFonts w:ascii="Cambria Math" w:hAnsi="Times New Roman" w:cs="Times New Roman"/>
            <w:sz w:val="24"/>
            <w:szCs w:val="24"/>
          </w:rPr>
          <m:t xml:space="preserve"> </m:t>
        </m:r>
      </m:oMath>
      <w:r>
        <w:rPr>
          <w:rFonts w:ascii="Times New Roman" w:hAnsi="Times New Roman" w:cs="Times New Roman" w:eastAsiaTheme="minorEastAsia"/>
          <w:sz w:val="24"/>
          <w:szCs w:val="24"/>
        </w:rPr>
        <w:t xml:space="preserve">yang berarti MBVE berpengaruh dan signifikan terhadap nilai perusahaan. Dikarenakan berdasarkan nilai MBVE dari tahun 2015-2019 mengalami fluktuasi, shingga akan berpengaruh terhadap nilai perusahaan. </w:t>
      </w:r>
      <w:r>
        <w:rPr>
          <w:rFonts w:ascii="Times New Roman" w:hAnsi="Times New Roman" w:eastAsia="Times New Roman" w:cs="Times New Roman"/>
          <w:sz w:val="24"/>
          <w:szCs w:val="24"/>
        </w:rPr>
        <w:t xml:space="preserve">Semakin tinggi MV/BVA semakin besar asset yang digunakan perusahaan dalam usahanya, semakin besar kemungkinan harga sahamnya akan meningkat, return saham pun meningkat. </w:t>
      </w:r>
    </w:p>
    <w:p>
      <w:pPr>
        <w:ind w:firstLine="720"/>
        <w:rPr>
          <w:rStyle w:val="31"/>
          <w:rFonts w:ascii="Times New Roman" w:hAnsi="Times New Roman" w:cs="Times New Roman"/>
          <w:sz w:val="24"/>
          <w:szCs w:val="24"/>
        </w:rPr>
      </w:pPr>
      <w:r>
        <w:rPr>
          <w:rFonts w:ascii="Times New Roman" w:hAnsi="Times New Roman" w:eastAsia="Times New Roman" w:cs="Times New Roman"/>
          <w:sz w:val="24"/>
          <w:szCs w:val="24"/>
        </w:rPr>
        <w:t xml:space="preserve">Sesuai dengan teori investasi yang menyatakan bahwa setiap keputusan investasi yang dilakukan diharapkan menghasilkan return yang lebih tinggi dibanding dengan biaya modal yang dikeluarkan oleh perusahaan. Jadi semakin tinggi asset yang digunakan dalam investasi semakin besar kemungkinan hargasahamnya akan meningkat sehingga nilai perusahaan yang diproksikan dengan </w:t>
      </w:r>
      <w:r>
        <w:rPr>
          <w:rFonts w:ascii="Times New Roman" w:hAnsi="Times New Roman" w:eastAsia="Times New Roman" w:cs="Times New Roman"/>
          <w:i/>
          <w:sz w:val="24"/>
          <w:szCs w:val="24"/>
        </w:rPr>
        <w:t>Price Book Value</w:t>
      </w:r>
      <w:r>
        <w:rPr>
          <w:rFonts w:ascii="Times New Roman" w:hAnsi="Times New Roman" w:eastAsia="Times New Roman" w:cs="Times New Roman"/>
          <w:sz w:val="24"/>
          <w:szCs w:val="24"/>
        </w:rPr>
        <w:t xml:space="preserve"> pun akan meningkat. Juga didukung oleh </w:t>
      </w:r>
      <w:r>
        <w:rPr>
          <w:rFonts w:ascii="Times New Roman" w:hAnsi="Times New Roman" w:eastAsia="Times New Roman" w:cs="Times New Roman"/>
          <w:i/>
          <w:sz w:val="24"/>
          <w:szCs w:val="24"/>
        </w:rPr>
        <w:t>Signaling Theory</w:t>
      </w:r>
      <w:r>
        <w:rPr>
          <w:rFonts w:ascii="Times New Roman" w:hAnsi="Times New Roman" w:eastAsia="Times New Roman" w:cs="Times New Roman"/>
          <w:sz w:val="24"/>
          <w:szCs w:val="24"/>
        </w:rPr>
        <w:t xml:space="preserve"> yang menyatakan bahwa informasi-informasi tentang perusahaan memberi sinyal kepada investor. Dengan menilai aktiva yang dimiliki perusahaan, investor dapat menentukan keputusan atas penawaran saham suatu perusahaan. Sinyal positif atas informasi asset yang digunakan perusahaan dalam usahanya akan direspon positif oleh investor sehingga  tertarik untuk memiliki saham perusahaan tersebut. Dengan respon positif dari para investor, nilai perusahaan yang tercermin dalam harga saham pun akan meningkat</w:t>
      </w:r>
      <w:r>
        <w:rPr>
          <w:rStyle w:val="31"/>
          <w:rFonts w:ascii="Times New Roman" w:hAnsi="Times New Roman" w:cs="Times New Roman"/>
          <w:sz w:val="24"/>
          <w:szCs w:val="24"/>
        </w:rPr>
        <w:t xml:space="preserve"> (Hidayah, 2015). Rasio nilai pasar ekuitas terhadap nilai buku (MVE/BVE) dapat mencerminkan adanya IOS bagi suatu perusahaan</w:t>
      </w:r>
    </w:p>
    <w:p>
      <w:pPr>
        <w:ind w:firstLine="567"/>
        <w:rPr>
          <w:rStyle w:val="31"/>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Berpengaruhnya mbve terhadap nilai perusahaan pada sub sector perbankan di Bursa Efek Indonesia (BEI </w:t>
      </w:r>
      <w:r>
        <w:rPr>
          <w:rFonts w:ascii="Times New Roman" w:hAnsi="Times New Roman" w:cs="Times New Roman" w:eastAsiaTheme="minorEastAsia"/>
          <w:sz w:val="24"/>
          <w:szCs w:val="24"/>
        </w:rPr>
        <w:t xml:space="preserve">disebabkan karena sub sector perbankan menunjukkan progress yang baik atau kenaikan dari tahun ketahun semakin baik dari tahun sebelumnya. Pertumbuhan nilai buku pada perbankan memiliki nilai buku sebesar 21.1% sampai 30.23% sehingga pertumbuhan nilai buku pada periode 2015-2019 (cnbindonesia.com). Nilai buku yang yang meningkat menunjukan bahwa manajemen perusahaan menjalankan operasional perusahaan secara efektif. Hal ini tentunya dapat menarik perhatian investor untuk menginvestasikan danannya pada saham perusahaan tersebut yang berdampak pada peningkatan harga saham. </w:t>
      </w:r>
    </w:p>
    <w:p>
      <w:pPr>
        <w:ind w:firstLine="567"/>
        <w:rPr>
          <w:rStyle w:val="31"/>
          <w:rFonts w:ascii="Times New Roman" w:hAnsi="Times New Roman" w:cs="Times New Roman"/>
          <w:sz w:val="24"/>
          <w:szCs w:val="24"/>
        </w:rPr>
      </w:pPr>
    </w:p>
    <w:p>
      <w:pPr>
        <w:ind w:firstLine="567"/>
        <w:rPr>
          <w:rStyle w:val="31"/>
          <w:rFonts w:ascii="Times New Roman" w:hAnsi="Times New Roman" w:cs="Times New Roman"/>
          <w:sz w:val="24"/>
          <w:szCs w:val="24"/>
        </w:rPr>
      </w:pPr>
    </w:p>
    <w:p>
      <w:pPr>
        <w:ind w:firstLine="567"/>
        <w:rPr>
          <w:rFonts w:ascii="Times New Roman" w:hAnsi="Times New Roman" w:cs="Times New Roman"/>
          <w:sz w:val="24"/>
          <w:szCs w:val="24"/>
        </w:rPr>
      </w:pPr>
      <w:r>
        <w:rPr>
          <w:rStyle w:val="31"/>
          <w:rFonts w:ascii="Times New Roman" w:hAnsi="Times New Roman" w:cs="Times New Roman"/>
          <w:sz w:val="24"/>
          <w:szCs w:val="24"/>
        </w:rPr>
        <w:t xml:space="preserve">Berpengaruhnya </w:t>
      </w:r>
      <w:r>
        <w:rPr>
          <w:rFonts w:ascii="Times New Roman" w:hAnsi="Times New Roman" w:cs="Times New Roman"/>
          <w:i/>
          <w:sz w:val="24"/>
          <w:szCs w:val="24"/>
        </w:rPr>
        <w:t xml:space="preserve">Market Value to Book Value of Assets Ratio </w:t>
      </w:r>
      <w:r>
        <w:rPr>
          <w:rFonts w:ascii="Times New Roman" w:hAnsi="Times New Roman" w:cs="Times New Roman"/>
          <w:sz w:val="24"/>
          <w:szCs w:val="24"/>
        </w:rPr>
        <w:t>terhadap nilai perusahaan memiliki dampak positif terhadap nilai perusahaan</w:t>
      </w:r>
      <w:r>
        <w:rPr>
          <w:rFonts w:ascii="Times New Roman" w:hAnsi="Times New Roman" w:eastAsia="Times New Roman" w:cs="Times New Roman"/>
          <w:sz w:val="24"/>
          <w:szCs w:val="24"/>
        </w:rPr>
        <w:t>, karena</w:t>
      </w:r>
      <w:r>
        <w:rPr>
          <w:rFonts w:ascii="Times New Roman" w:hAnsi="Times New Roman" w:cs="Times New Roman"/>
          <w:sz w:val="24"/>
          <w:szCs w:val="24"/>
        </w:rPr>
        <w:t xml:space="preserve"> dapat dimungkinkan bahwa perusahaan yang banyak melakukan investasi cenderung memiliki asset yang bertambah setiap waktu atau bertambah besar kekayaannya. Perusahaan yang bertambah besar dari waktu ke waktu akan dapat </w:t>
      </w:r>
      <w:r>
        <w:rPr>
          <w:rFonts w:ascii="Times New Roman" w:hAnsi="Times New Roman" w:cs="Times New Roman"/>
          <w:sz w:val="24"/>
          <w:szCs w:val="24"/>
        </w:rPr>
        <w:br w:type="textWrapping"/>
      </w:r>
      <w:r>
        <w:rPr>
          <w:rFonts w:ascii="Times New Roman" w:hAnsi="Times New Roman" w:cs="Times New Roman"/>
          <w:sz w:val="24"/>
          <w:szCs w:val="24"/>
        </w:rPr>
        <w:t>menciptakan sentiment positif para investor, sehingga harga saham pada akhirnya akan dapat meningkatkan nilai perusahaan</w:t>
      </w:r>
      <w:r>
        <w:rPr>
          <w:rFonts w:ascii="Arial" w:hAnsi="Arial" w:cs="Arial"/>
          <w:sz w:val="27"/>
          <w:szCs w:val="27"/>
        </w:rPr>
        <w:t>.</w:t>
      </w:r>
    </w:p>
    <w:p>
      <w:pPr>
        <w:ind w:firstLine="567"/>
        <w:rPr>
          <w:rFonts w:ascii="Arial" w:hAnsi="Arial" w:cs="Arial"/>
          <w:sz w:val="27"/>
          <w:szCs w:val="27"/>
        </w:rPr>
      </w:pPr>
      <w:r>
        <w:rPr>
          <w:rFonts w:ascii="Times New Roman" w:hAnsi="Times New Roman" w:eastAsia="Times New Roman" w:cs="Times New Roman"/>
          <w:sz w:val="24"/>
          <w:szCs w:val="24"/>
        </w:rPr>
        <w:t xml:space="preserve">Hasil </w:t>
      </w:r>
      <w:r>
        <w:rPr>
          <w:rStyle w:val="31"/>
          <w:rFonts w:ascii="Times New Roman" w:hAnsi="Times New Roman" w:cs="Times New Roman"/>
          <w:sz w:val="24"/>
          <w:szCs w:val="24"/>
        </w:rPr>
        <w:t>Penelitian sejalan dengan penelitian yang dilakukan oleh Hidayah (2015), (Suartawan &amp; Yasa, 2016), Setiawan dkk. (2017), serta Sudiani &amp; Darmayanti, (2018) yang menyatakan bahwa IOS yang diproksikan dengan MBVE berpengaruh positif terhadap nilai perusahaan. Hal ini mengindikasikan bahwa perusahaan dengan nilai pasar yang tinggi dinilai baik oleh investor karena dapat memberikan return yang baik melalui harga saham yang tinggi. Begitupun pada penelitian yang dilakukan Frederica (2019) menyatakan bahwa ada pengaruh positif MBVE sebagai proksi dari IOS terhadap nilai perusahaan.</w:t>
      </w:r>
    </w:p>
    <w:p>
      <w:pPr>
        <w:ind w:firstLine="0"/>
        <w:rPr>
          <w:rFonts w:ascii="Times New Roman" w:hAnsi="Times New Roman" w:cs="Times New Roman"/>
          <w:sz w:val="24"/>
          <w:szCs w:val="24"/>
        </w:rPr>
      </w:pPr>
      <w:r>
        <w:rPr>
          <w:rFonts w:ascii="Times New Roman" w:hAnsi="Times New Roman" w:cs="Times New Roman" w:eastAsiaTheme="minorEastAsia"/>
          <w:b/>
          <w:sz w:val="24"/>
          <w:szCs w:val="24"/>
        </w:rPr>
        <w:t xml:space="preserve">6.2 </w:t>
      </w:r>
      <w:r>
        <w:rPr>
          <w:rFonts w:ascii="Times New Roman" w:hAnsi="Times New Roman" w:cs="Times New Roman"/>
          <w:b/>
          <w:sz w:val="24"/>
          <w:szCs w:val="24"/>
        </w:rPr>
        <w:t xml:space="preserve">Pengaruh </w:t>
      </w:r>
      <w:r>
        <w:rPr>
          <w:rFonts w:ascii="Times New Roman" w:hAnsi="Times New Roman" w:cs="Times New Roman"/>
          <w:b/>
          <w:i/>
          <w:sz w:val="24"/>
          <w:szCs w:val="24"/>
        </w:rPr>
        <w:t>Invesment Oportunity Set</w:t>
      </w:r>
      <w:r>
        <w:rPr>
          <w:rFonts w:ascii="Times New Roman" w:hAnsi="Times New Roman" w:cs="Times New Roman"/>
          <w:b/>
          <w:sz w:val="24"/>
          <w:szCs w:val="24"/>
        </w:rPr>
        <w:t xml:space="preserve"> yang terdiri dari </w:t>
      </w:r>
      <w:r>
        <w:rPr>
          <w:rFonts w:ascii="Times New Roman" w:hAnsi="Times New Roman" w:cs="Times New Roman"/>
          <w:b/>
          <w:i/>
          <w:sz w:val="24"/>
          <w:szCs w:val="24"/>
        </w:rPr>
        <w:t>Capital Expenditure To Book Value Assets</w:t>
      </w:r>
      <w:r>
        <w:rPr>
          <w:rFonts w:ascii="Times New Roman" w:hAnsi="Times New Roman" w:cs="Times New Roman"/>
          <w:b/>
          <w:sz w:val="24"/>
          <w:szCs w:val="24"/>
        </w:rPr>
        <w:t xml:space="preserve"> Terhadap Nilai Perusahaan</w:t>
      </w:r>
    </w:p>
    <w:p>
      <w:pPr>
        <w:ind w:firstLine="720"/>
        <w:rPr>
          <w:rFonts w:ascii="Times New Roman" w:hAnsi="Times New Roman" w:cs="Times New Roman" w:eastAsiaTheme="minorEastAsia"/>
          <w:sz w:val="24"/>
          <w:szCs w:val="24"/>
        </w:rPr>
      </w:pPr>
      <w:r>
        <w:rPr>
          <w:rFonts w:ascii="Times New Roman" w:hAnsi="Times New Roman" w:cs="Times New Roman"/>
          <w:sz w:val="24"/>
          <w:szCs w:val="24"/>
        </w:rPr>
        <w:t xml:space="preserve">Hasil Penelitian secara statistic variabel </w:t>
      </w:r>
      <w:r>
        <w:rPr>
          <w:rFonts w:ascii="Times New Roman" w:hAnsi="Times New Roman" w:cs="Times New Roman"/>
          <w:i/>
          <w:sz w:val="24"/>
          <w:szCs w:val="24"/>
        </w:rPr>
        <w:t>Invesment Oportunity Set</w:t>
      </w:r>
      <w:r>
        <w:rPr>
          <w:rFonts w:ascii="Times New Roman" w:hAnsi="Times New Roman" w:cs="Times New Roman"/>
          <w:sz w:val="24"/>
          <w:szCs w:val="24"/>
        </w:rPr>
        <w:t xml:space="preserve">  yang diukur dengan </w:t>
      </w:r>
      <w:r>
        <w:rPr>
          <w:rFonts w:ascii="Times New Roman" w:hAnsi="Times New Roman" w:cs="Times New Roman"/>
          <w:i/>
          <w:sz w:val="24"/>
          <w:szCs w:val="24"/>
        </w:rPr>
        <w:t xml:space="preserve">Capital Expenditure To Book Value Assets </w:t>
      </w:r>
      <w:r>
        <w:rPr>
          <w:rFonts w:ascii="Times New Roman" w:hAnsi="Times New Roman" w:cs="Times New Roman"/>
          <w:sz w:val="24"/>
          <w:szCs w:val="24"/>
        </w:rPr>
        <w:t xml:space="preserve">(CAPBVA) yang ditunjukkan pada  tabel 4.8 dengan nilai signifikan sebesar </w:t>
      </w:r>
      <w:r>
        <w:rPr>
          <w:rFonts w:ascii="Times New Roman" w:hAnsi="Times New Roman" w:cs="Times New Roman" w:eastAsiaTheme="minorEastAsia"/>
          <w:sz w:val="24"/>
          <w:szCs w:val="24"/>
        </w:rPr>
        <w:t>0,309 &gt; 0,05 dan</w:t>
      </w:r>
      <w:r>
        <w:rPr>
          <w:rFonts w:ascii="Times New Roman" w:hAnsi="Times New Roman" w:cs="Times New Roman"/>
          <w:color w:val="010205"/>
          <w:sz w:val="24"/>
          <w:szCs w:val="24"/>
        </w:rPr>
        <w:t xml:space="preserve"> </w:t>
      </w:r>
      <m:oMath>
        <m:sSub>
          <m:sSubPr>
            <m:ctrlPr>
              <w:rPr>
                <w:rFonts w:ascii="Times New Roman" w:hAnsi="Times New Roman" w:cs="Times New Roman"/>
                <w:sz w:val="24"/>
                <w:szCs w:val="24"/>
              </w:rPr>
            </m:ctrlPr>
          </m:sSubPr>
          <m:e>
            <m:r>
              <m:rPr>
                <m:sty m:val="p"/>
              </m:rPr>
              <w:rPr>
                <w:rFonts w:ascii="Times New Roman" w:hAnsi="Times New Roman" w:cs="Times New Roman"/>
                <w:sz w:val="24"/>
                <w:szCs w:val="24"/>
              </w:rPr>
              <m:t>T</m:t>
            </m:r>
            <m:ctrlPr>
              <w:rPr>
                <w:rFonts w:ascii="Times New Roman" w:hAnsi="Times New Roman" w:cs="Times New Roman"/>
                <w:sz w:val="24"/>
                <w:szCs w:val="24"/>
              </w:rPr>
            </m:ctrlPr>
          </m:e>
          <m:sub>
            <m:r>
              <m:rPr>
                <m:sty m:val="p"/>
              </m:rPr>
              <w:rPr>
                <w:rFonts w:ascii="Times New Roman" w:hAnsi="Times New Roman" w:cs="Times New Roman"/>
                <w:sz w:val="24"/>
                <w:szCs w:val="24"/>
              </w:rPr>
              <m:t>hitung</m:t>
            </m:r>
            <m:ctrlPr>
              <w:rPr>
                <w:rFonts w:ascii="Times New Roman" w:hAnsi="Times New Roman" w:cs="Times New Roman"/>
                <w:sz w:val="24"/>
                <w:szCs w:val="24"/>
              </w:rPr>
            </m:ctrlPr>
          </m:sub>
        </m:sSub>
      </m:oMath>
      <w:r>
        <w:rPr>
          <w:rFonts w:ascii="Times New Roman" w:hAnsi="Times New Roman" w:cs="Times New Roman" w:eastAsiaTheme="minorEastAsia"/>
          <w:sz w:val="24"/>
          <w:szCs w:val="24"/>
        </w:rPr>
        <w:t xml:space="preserve"> &lt; </w:t>
      </w:r>
      <m:oMath>
        <m:sSub>
          <m:sSubPr>
            <m:ctrlPr>
              <w:rPr>
                <w:rFonts w:ascii="Times New Roman" w:hAnsi="Times New Roman" w:cs="Times New Roman"/>
                <w:sz w:val="24"/>
                <w:szCs w:val="24"/>
              </w:rPr>
            </m:ctrlPr>
          </m:sSubPr>
          <m:e>
            <m:r>
              <m:rPr>
                <m:sty m:val="p"/>
              </m:rPr>
              <w:rPr>
                <w:rFonts w:ascii="Times New Roman" w:hAnsi="Times New Roman" w:cs="Times New Roman"/>
                <w:sz w:val="24"/>
                <w:szCs w:val="24"/>
              </w:rPr>
              <m:t>T</m:t>
            </m:r>
            <m:ctrlPr>
              <w:rPr>
                <w:rFonts w:ascii="Times New Roman" w:hAnsi="Times New Roman" w:cs="Times New Roman"/>
                <w:sz w:val="24"/>
                <w:szCs w:val="24"/>
              </w:rPr>
            </m:ctrlPr>
          </m:e>
          <m:sub>
            <m:r>
              <m:rPr>
                <m:sty m:val="p"/>
              </m:rPr>
              <w:rPr>
                <w:rFonts w:ascii="Times New Roman" w:hAnsi="Times New Roman" w:cs="Times New Roman"/>
                <w:sz w:val="24"/>
                <w:szCs w:val="24"/>
              </w:rPr>
              <m:t>tabel</m:t>
            </m:r>
            <m:ctrlPr>
              <w:rPr>
                <w:rFonts w:ascii="Times New Roman" w:hAnsi="Times New Roman" w:cs="Times New Roman"/>
                <w:sz w:val="24"/>
                <w:szCs w:val="24"/>
              </w:rPr>
            </m:ctrlPr>
          </m:sub>
        </m:sSub>
      </m:oMath>
      <w:r>
        <w:rPr>
          <w:rFonts w:ascii="Times New Roman" w:hAnsi="Times New Roman" w:cs="Times New Roman" w:eastAsiaTheme="minorEastAsia"/>
          <w:sz w:val="24"/>
          <w:szCs w:val="24"/>
        </w:rPr>
        <w:t xml:space="preserve"> yang berarti CAPBVA tidak berpengaruh dan signifikan terhadap nilai perusahaan. Dikarenakan berdasarkan nilai CAPBVA dari tahun 2015-2019 mengalami fluktuasi, sehingga akan berpengaruh terhadap nilai perusahaan. </w:t>
      </w:r>
      <w:r>
        <w:rPr>
          <w:rStyle w:val="31"/>
          <w:rFonts w:ascii="Times New Roman" w:hAnsi="Times New Roman" w:cs="Times New Roman"/>
          <w:sz w:val="24"/>
          <w:szCs w:val="24"/>
        </w:rPr>
        <w:t xml:space="preserve">Semakin besar aliran tambahan modal saham, semakin besar kemampuan perusahaan untuk memanfaatkannya sebagai tambahan investasi sehingga perusahaan tersebut mempunyai kesempatan untuk tumbuh dan apabila perusahaan belum memanfaatkan tambahan modal saham semakin kecil kemampuan perusahaan untuk memanfaatkan investasi sehingga perusahaan tersebut tidak mempunyai kesempatan untuk tumbuh (Agustina, 2016). Dengan demikian akan berdampak pada kenaikan harga saham pada perusahaan dan akan meningkatkan return yang diterima para pemegang saham. </w:t>
      </w:r>
    </w:p>
    <w:p>
      <w:pPr>
        <w:ind w:firstLine="720"/>
        <w:rPr>
          <w:rStyle w:val="31"/>
          <w:rFonts w:ascii="Times New Roman" w:hAnsi="Times New Roman" w:cs="Times New Roman"/>
          <w:sz w:val="24"/>
          <w:szCs w:val="24"/>
        </w:rPr>
      </w:pPr>
      <w:r>
        <w:rPr>
          <w:rFonts w:ascii="Times New Roman" w:hAnsi="Times New Roman" w:cs="Times New Roman" w:eastAsiaTheme="minorEastAsia"/>
          <w:sz w:val="24"/>
          <w:szCs w:val="24"/>
        </w:rPr>
        <w:t xml:space="preserve">Berdasarkan </w:t>
      </w:r>
      <w:r>
        <w:rPr>
          <w:rStyle w:val="31"/>
          <w:rFonts w:ascii="Times New Roman" w:hAnsi="Times New Roman" w:cs="Times New Roman"/>
          <w:sz w:val="24"/>
          <w:szCs w:val="24"/>
        </w:rPr>
        <w:t>teori yang dikemukkan oleh (Pratama, 2020) yang menyatakan bahwa investasi jangka panjang bertujuan untuk memaksimumkan kemakmuran pemegang saham atau nilai perusahaan. Jika perusahaan melakukan investasi dan investasi tersebut memberikan penambahan nilai yang lebih besar di masa yang akan datang, maka dapat meningkatkan nilai perusahaan, sehingga pada penelitian ini CAPBVA memberikan informasi mengenai seberapa besar aliran tambahan modal perusahaan. Perusahaan dapat memanfaatkannya untuk mengetahui seberapa besar tambahan investasi aktiva produktifnya, sehingga potensi perusahaan dapat bertumbuh semakin besar. Sedangkan untuk para investor dapat menggunakan variabel ini untuk mengetahui seberapa besar prospek investasi perusahaan di masa mendatang. Melihat tambahan modal perusahaan karena dengan adanya pertumbuhan investasi perusahaan di masa mendatang akan meningkatkan kinerja perusahaan, dengan meningkatnya kinerja perusahaan akan berpengaruh kepada naiknya harga saham perusahaan dan harga saham yang tinggi akan berdampak pada meningkatnya keuntungan yang akan didapatkan oleh investor (Pratama, 2020)</w:t>
      </w:r>
    </w:p>
    <w:p>
      <w:pPr>
        <w:ind w:firstLine="720"/>
        <w:rPr>
          <w:rFonts w:ascii="Times New Roman" w:hAnsi="Times New Roman" w:cs="Times New Roman"/>
          <w:sz w:val="24"/>
          <w:szCs w:val="24"/>
        </w:rPr>
      </w:pPr>
      <w:r>
        <w:rPr>
          <w:rStyle w:val="25"/>
          <w:rFonts w:ascii="Times New Roman" w:hAnsi="Times New Roman" w:cs="Times New Roman"/>
          <w:sz w:val="24"/>
          <w:szCs w:val="24"/>
        </w:rPr>
        <w:t xml:space="preserve">Secara kesuluruhan </w:t>
      </w:r>
      <w:r>
        <w:rPr>
          <w:rStyle w:val="25"/>
          <w:rFonts w:ascii="Times New Roman" w:hAnsi="Times New Roman" w:cs="Times New Roman"/>
          <w:i/>
          <w:sz w:val="24"/>
          <w:szCs w:val="24"/>
        </w:rPr>
        <w:t>Capital Expenditure to Book Value of Asset</w:t>
      </w:r>
      <w:r>
        <w:rPr>
          <w:rStyle w:val="25"/>
          <w:rFonts w:ascii="Times New Roman" w:hAnsi="Times New Roman" w:cs="Times New Roman"/>
          <w:sz w:val="24"/>
          <w:szCs w:val="24"/>
        </w:rPr>
        <w:t xml:space="preserve"> (CAPBVA)</w:t>
      </w:r>
      <w:r>
        <w:rPr>
          <w:rFonts w:ascii="Times New Roman" w:hAnsi="Times New Roman" w:cs="Times New Roman"/>
          <w:i/>
          <w:sz w:val="24"/>
          <w:szCs w:val="24"/>
        </w:rPr>
        <w:t xml:space="preserve"> pada periode 2015-2019 </w:t>
      </w:r>
      <w:r>
        <w:rPr>
          <w:rStyle w:val="31"/>
          <w:rFonts w:ascii="Times New Roman" w:hAnsi="Times New Roman" w:cs="Times New Roman"/>
          <w:sz w:val="24"/>
          <w:szCs w:val="24"/>
        </w:rPr>
        <w:t xml:space="preserve">menunjukan bahwa perbankan didalam mengelola asset nyaa atau mengelola laba nyaa masih kurang baik, sehingga </w:t>
      </w:r>
      <w:r>
        <w:rPr>
          <w:rFonts w:ascii="Times New Roman" w:hAnsi="Times New Roman" w:cs="Times New Roman"/>
          <w:sz w:val="24"/>
          <w:szCs w:val="24"/>
        </w:rPr>
        <w:t>banyak perusahaan mengalami penurunan nilai buku aset tetapnya dan sebagian perusahaan masih ada yang belum memanfaatkan tambahan modal saham untuk meningkatkan aktiva produktifnya (</w:t>
      </w:r>
      <w:r>
        <w:fldChar w:fldCharType="begin"/>
      </w:r>
      <w:r>
        <w:instrText xml:space="preserve"> HYPERLINK "http://www.medianeliti.com" </w:instrText>
      </w:r>
      <w:r>
        <w:fldChar w:fldCharType="separate"/>
      </w:r>
      <w:r>
        <w:rPr>
          <w:rStyle w:val="12"/>
          <w:rFonts w:ascii="Times New Roman" w:hAnsi="Times New Roman" w:cs="Times New Roman"/>
          <w:color w:val="000000" w:themeColor="text1"/>
          <w:sz w:val="24"/>
          <w:szCs w:val="24"/>
          <w:u w:val="none"/>
        </w:rPr>
        <w:t>www.medianeliti.com</w:t>
      </w:r>
      <w:r>
        <w:rPr>
          <w:rStyle w:val="12"/>
          <w:rFonts w:ascii="Times New Roman" w:hAnsi="Times New Roman" w:cs="Times New Roman"/>
          <w:color w:val="000000" w:themeColor="text1"/>
          <w:sz w:val="24"/>
          <w:szCs w:val="24"/>
          <w:u w:val="none"/>
        </w:rPr>
        <w:fldChar w:fldCharType="end"/>
      </w:r>
      <w:r>
        <w:rPr>
          <w:rFonts w:ascii="Times New Roman" w:hAnsi="Times New Roman" w:cs="Times New Roman"/>
          <w:color w:val="000000" w:themeColor="text1"/>
          <w:sz w:val="24"/>
          <w:szCs w:val="24"/>
        </w:rPr>
        <w:t>)</w:t>
      </w:r>
    </w:p>
    <w:p>
      <w:pPr>
        <w:ind w:firstLine="720"/>
        <w:rPr>
          <w:rStyle w:val="31"/>
          <w:rFonts w:ascii="Times New Roman" w:hAnsi="Times New Roman" w:cs="Times New Roman"/>
          <w:sz w:val="24"/>
          <w:szCs w:val="24"/>
        </w:rPr>
      </w:pPr>
      <w:r>
        <w:rPr>
          <w:rStyle w:val="31"/>
          <w:rFonts w:ascii="Times New Roman" w:hAnsi="Times New Roman" w:cs="Times New Roman"/>
          <w:sz w:val="24"/>
          <w:szCs w:val="24"/>
        </w:rPr>
        <w:t>Tidak berpengaruhnya CAPBVA terhadap nilai perusahaan memiliki dampak, ketika perusahaan yang belum memanfaatkan tambahan modal saham untuk meningkatkan aktiva produktifnya juga akan berdampak pada investasi di perusahaan tersebut, karena para investor dapat melihat seberapa besar aliran modal tambahan suatu perusahaan dengan cara membagi capital asset dengan total asset.</w:t>
      </w:r>
    </w:p>
    <w:p>
      <w:pPr>
        <w:ind w:firstLine="567"/>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w:t>
      </w:r>
      <w:sdt>
        <w:sdtPr>
          <w:rPr>
            <w:rFonts w:ascii="Times New Roman" w:hAnsi="Times New Roman" w:cs="Times New Roman"/>
            <w:sz w:val="24"/>
            <w:szCs w:val="24"/>
          </w:rPr>
          <w:id w:val="1392663019"/>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Agu16 \l 1033 </w:instrText>
          </w:r>
          <w:r>
            <w:rPr>
              <w:rFonts w:ascii="Times New Roman" w:hAnsi="Times New Roman" w:cs="Times New Roman"/>
              <w:sz w:val="24"/>
              <w:szCs w:val="24"/>
            </w:rPr>
            <w:fldChar w:fldCharType="separate"/>
          </w:r>
          <w:r>
            <w:rPr>
              <w:rFonts w:ascii="Times New Roman" w:hAnsi="Times New Roman" w:cs="Times New Roman"/>
              <w:sz w:val="24"/>
              <w:szCs w:val="24"/>
            </w:rPr>
            <w:t>(Agustina,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yang menyatakan bahwa rasio </w:t>
      </w:r>
      <w:r>
        <w:rPr>
          <w:rFonts w:ascii="Times New Roman" w:hAnsi="Times New Roman" w:cs="Times New Roman"/>
          <w:i/>
          <w:sz w:val="24"/>
          <w:szCs w:val="24"/>
        </w:rPr>
        <w:t>Capital Expenditure To Book Value Assets</w:t>
      </w:r>
      <w:r>
        <w:rPr>
          <w:rFonts w:ascii="Times New Roman" w:hAnsi="Times New Roman" w:cs="Times New Roman"/>
          <w:sz w:val="24"/>
          <w:szCs w:val="24"/>
        </w:rPr>
        <w:t xml:space="preserve"> tidak berpengaruh terhadap nilai perusahaan. berbeda dengan penelitian yang dilakukan oleh Hidayah (2015) yang menyatakan bahwa </w:t>
      </w:r>
      <w:r>
        <w:rPr>
          <w:rFonts w:ascii="Times New Roman" w:hAnsi="Times New Roman" w:cs="Times New Roman"/>
          <w:i/>
          <w:sz w:val="24"/>
          <w:szCs w:val="24"/>
        </w:rPr>
        <w:t>rasio capital expenditure to book value</w:t>
      </w:r>
      <w:r>
        <w:rPr>
          <w:rFonts w:ascii="Times New Roman" w:hAnsi="Times New Roman" w:cs="Times New Roman"/>
          <w:sz w:val="24"/>
          <w:szCs w:val="24"/>
        </w:rPr>
        <w:t xml:space="preserve"> </w:t>
      </w:r>
      <w:r>
        <w:rPr>
          <w:rFonts w:ascii="Times New Roman" w:hAnsi="Times New Roman" w:cs="Times New Roman"/>
          <w:i/>
          <w:sz w:val="24"/>
          <w:szCs w:val="24"/>
        </w:rPr>
        <w:t>assets</w:t>
      </w:r>
      <w:r>
        <w:rPr>
          <w:rFonts w:ascii="Times New Roman" w:hAnsi="Times New Roman" w:cs="Times New Roman"/>
          <w:sz w:val="24"/>
          <w:szCs w:val="24"/>
        </w:rPr>
        <w:t xml:space="preserve">  berpengaruh dan signifikan terhadap nilai perusahaan. </w:t>
      </w:r>
    </w:p>
    <w:p>
      <w:pPr>
        <w:ind w:firstLine="0"/>
        <w:rPr>
          <w:rFonts w:ascii="Times New Roman" w:hAnsi="Times New Roman" w:cs="Times New Roman" w:eastAsiaTheme="minorEastAsia"/>
          <w:sz w:val="24"/>
          <w:szCs w:val="24"/>
        </w:rPr>
      </w:pPr>
      <w:r>
        <w:rPr>
          <w:rFonts w:ascii="Times New Roman" w:hAnsi="Times New Roman" w:cs="Times New Roman"/>
          <w:b/>
          <w:sz w:val="24"/>
          <w:szCs w:val="24"/>
        </w:rPr>
        <w:t xml:space="preserve">4.6.3 Pengaruh </w:t>
      </w:r>
      <w:r>
        <w:rPr>
          <w:rFonts w:ascii="Times New Roman" w:hAnsi="Times New Roman" w:cs="Times New Roman"/>
          <w:b/>
          <w:i/>
          <w:sz w:val="24"/>
          <w:szCs w:val="24"/>
        </w:rPr>
        <w:t xml:space="preserve">Corporate Social Responbility </w:t>
      </w:r>
      <w:r>
        <w:rPr>
          <w:rFonts w:ascii="Times New Roman" w:hAnsi="Times New Roman" w:cs="Times New Roman"/>
          <w:b/>
          <w:sz w:val="24"/>
          <w:szCs w:val="24"/>
        </w:rPr>
        <w:t>yang terdiri dari CSRDI terhadap Nilai perusahaan</w:t>
      </w:r>
    </w:p>
    <w:p>
      <w:pPr>
        <w:ind w:firstLine="567"/>
        <w:rPr>
          <w:rStyle w:val="31"/>
          <w:rFonts w:ascii="Times New Roman" w:hAnsi="Times New Roman" w:cs="Times New Roman" w:eastAsiaTheme="minorEastAsia"/>
          <w:sz w:val="24"/>
          <w:szCs w:val="24"/>
        </w:rPr>
      </w:pPr>
      <w:r>
        <w:rPr>
          <w:rFonts w:ascii="Times New Roman" w:hAnsi="Times New Roman" w:cs="Times New Roman"/>
          <w:sz w:val="24"/>
          <w:szCs w:val="24"/>
        </w:rPr>
        <w:t xml:space="preserve">Hasil Penelitian secara statistic variabel </w:t>
      </w:r>
      <w:r>
        <w:rPr>
          <w:rFonts w:ascii="Times New Roman" w:hAnsi="Times New Roman" w:cs="Times New Roman"/>
          <w:i/>
          <w:sz w:val="24"/>
          <w:szCs w:val="24"/>
        </w:rPr>
        <w:t>Corporate Social Responbility</w:t>
      </w:r>
      <w:r>
        <w:rPr>
          <w:rFonts w:ascii="Times New Roman" w:hAnsi="Times New Roman" w:cs="Times New Roman"/>
          <w:b/>
          <w:sz w:val="24"/>
          <w:szCs w:val="24"/>
        </w:rPr>
        <w:t xml:space="preserve"> </w:t>
      </w:r>
      <w:r>
        <w:rPr>
          <w:rFonts w:ascii="Times New Roman" w:hAnsi="Times New Roman" w:cs="Times New Roman"/>
          <w:sz w:val="24"/>
          <w:szCs w:val="24"/>
        </w:rPr>
        <w:t xml:space="preserve">yang ditunjukkan pada  tabel 4.8 dengan nilai signifikan </w:t>
      </w:r>
      <w:r>
        <w:rPr>
          <w:rFonts w:ascii="Times New Roman" w:hAnsi="Times New Roman" w:cs="Times New Roman" w:eastAsiaTheme="minorEastAsia"/>
          <w:sz w:val="24"/>
          <w:szCs w:val="24"/>
        </w:rPr>
        <w:t xml:space="preserve">signifikan sebesar 0,047 &lt; 0,05 Hal ini menunjukkan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hitung</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&gt;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tabel</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yang berarti CSR berpengaruh dan signifikan terhadap nilai perusahaan. Dikarenakan berdasarkan nilai CSRDI dari tahun 2015-2019 tidak terjadi perubahan dari tahun ketahun sehingga dapat berpengaruh pada nilai perusahaan. Semakin tinggi CSR pada perusahaan maka perusahaan akan memiliki tingkat kegiatan CSR yang tinggi, dan kegiatan CSR ini akan menarik simpati masyarakat dan perusahaan tersebut dapat diterima dimasyakat sehingga masyarakat memberikan pandangan baik terhdap perusahaan tersebut yang akan berdampak pada citra perusahan dan akan menaikkan nilai dari perusahaan tersebut. </w:t>
      </w:r>
    </w:p>
    <w:p>
      <w:pPr>
        <w:ind w:firstLine="567"/>
        <w:rPr>
          <w:rStyle w:val="31"/>
          <w:rFonts w:ascii="Times New Roman" w:hAnsi="Times New Roman" w:cs="Times New Roman"/>
          <w:sz w:val="24"/>
          <w:szCs w:val="24"/>
        </w:rPr>
      </w:pPr>
      <w:r>
        <w:rPr>
          <w:rStyle w:val="31"/>
          <w:rFonts w:ascii="Times New Roman" w:hAnsi="Times New Roman" w:cs="Times New Roman"/>
          <w:sz w:val="24"/>
          <w:szCs w:val="24"/>
        </w:rPr>
        <w:t xml:space="preserve">Dalam </w:t>
      </w:r>
      <w:r>
        <w:rPr>
          <w:rStyle w:val="31"/>
          <w:rFonts w:ascii="Times New Roman" w:hAnsi="Times New Roman" w:cs="Times New Roman"/>
          <w:i/>
          <w:sz w:val="24"/>
          <w:szCs w:val="24"/>
        </w:rPr>
        <w:t>stakeholder theory</w:t>
      </w:r>
      <w:r>
        <w:rPr>
          <w:rStyle w:val="31"/>
          <w:rFonts w:ascii="Times New Roman" w:hAnsi="Times New Roman" w:cs="Times New Roman"/>
          <w:sz w:val="24"/>
          <w:szCs w:val="24"/>
        </w:rPr>
        <w:t xml:space="preserve"> dijelaskan bahwa keberlangsungan perusahaan dipengaruhi oleh pihak stakeholder. Dari teori tersebut, perusahaan diharapkan dapat memenuhi harapan para stakeholder dengan melaksanakan program CSR yang diungkapkan dalam laporan tahunan perusahaan tersebut. sesuai dengan pasal 66 dan pasal 74 Undang-Undang No. 40 tahun 2007 mengenai Perseroan Terbatas, mengharuskan perusahaan untuk melakukan tanggung jawab sosial dan lingkungan karena CSR merupakan sebuah komitmen perseroan untuk berperan serta dalam pembangunan ekonomi berkelanjutan dapat meningkatkan kualitas kehidupan dan lingkungan yang bermanfaat bagi perusahaan maupun masyarakat pada umumnya.</w:t>
      </w:r>
    </w:p>
    <w:p>
      <w:pPr>
        <w:ind w:firstLine="567"/>
        <w:rPr>
          <w:rStyle w:val="31"/>
          <w:rFonts w:ascii="Times New Roman" w:hAnsi="Times New Roman" w:cs="Times New Roman"/>
          <w:i/>
          <w:sz w:val="24"/>
          <w:szCs w:val="24"/>
        </w:rPr>
      </w:pPr>
      <w:r>
        <w:rPr>
          <w:rStyle w:val="31"/>
          <w:rFonts w:ascii="Times New Roman" w:hAnsi="Times New Roman" w:cs="Times New Roman"/>
          <w:sz w:val="24"/>
          <w:szCs w:val="24"/>
        </w:rPr>
        <w:t xml:space="preserve">Berpengaruhnya CSR terhadap nilai perusahaan pada sub sector perbankan di bursa efek Indonesia (BEI) disebabkan karena semakin banyak penerapan CSR oleh perusahaan maka nilai perusahaan akan semakin meningkat. Hal ini diharapkan dapat meningkatkan kesadaran perusahaan untuk melakukan aktivitas CSR dan pengungkapannya yang terdiri dari kategori lingkungan, energi, tenaga kerja, produk, atau keterlibatan masyarakat dan umum yang terdiri dari 78 item pernyataan. Sehingga dalam jangka panjang perusahaan dapat menikmati kinerja pasar yang baik yang nantinya akan dinikmati oleh masyarakat secara umum. Untuk itu adanya pegungkapan CSR yang akan memberi nilai lebih pada perusahaan perbankan agar nasabah baru memiliki pertimbangan lain dalam menginvestasikan asetnya kepada bank dan meningkatkan loyalitas nasabah lama agar tetap menginvestasikan asetnya pada bank tersebut (cnnindonesia.com). </w:t>
      </w:r>
    </w:p>
    <w:p>
      <w:pPr>
        <w:ind w:firstLine="567"/>
        <w:rPr>
          <w:rStyle w:val="31"/>
          <w:rFonts w:ascii="Times New Roman" w:hAnsi="Times New Roman" w:cs="Times New Roman"/>
          <w:sz w:val="24"/>
          <w:szCs w:val="24"/>
        </w:rPr>
      </w:pPr>
      <w:r>
        <w:rPr>
          <w:rStyle w:val="31"/>
          <w:rFonts w:ascii="Times New Roman" w:hAnsi="Times New Roman" w:cs="Times New Roman"/>
          <w:sz w:val="24"/>
          <w:szCs w:val="24"/>
        </w:rPr>
        <w:t xml:space="preserve">Berpengaruhnya CSR terhadap nilai perusahaan pada sub sector perbankan di bursa efek Indonesia (BEI) memiliki dampak positif. Hal ini dikarenakan </w:t>
      </w:r>
      <w:r>
        <w:rPr>
          <w:rFonts w:ascii="Times New Roman" w:hAnsi="Times New Roman" w:cs="Times New Roman"/>
          <w:sz w:val="24"/>
          <w:szCs w:val="24"/>
        </w:rPr>
        <w:br w:type="textWrapping"/>
      </w:r>
      <w:r>
        <w:rPr>
          <w:rStyle w:val="31"/>
          <w:rFonts w:ascii="Times New Roman" w:hAnsi="Times New Roman" w:cs="Times New Roman"/>
          <w:sz w:val="24"/>
          <w:szCs w:val="24"/>
        </w:rPr>
        <w:t xml:space="preserve">apabila pengungkapan CSR dilakukan oleh perusahaan maka calon investor akan menilai bahwa perusahaan memiliki kemampuan dalam memenuhi tanggung jawab sosialnya. Penilaian ini merupakan penilaian positif bagi perusahaan yang akan berdampak terhadap nilai perusahaan. </w:t>
      </w:r>
    </w:p>
    <w:p>
      <w:pPr>
        <w:ind w:firstLine="567"/>
        <w:rPr>
          <w:rFonts w:ascii="Times New Roman" w:hAnsi="Times New Roman" w:cs="Times New Roman"/>
          <w:sz w:val="24"/>
          <w:szCs w:val="24"/>
        </w:rPr>
      </w:pPr>
      <w:r>
        <w:rPr>
          <w:rStyle w:val="31"/>
          <w:rFonts w:ascii="Times New Roman" w:hAnsi="Times New Roman" w:cs="Times New Roman"/>
          <w:sz w:val="24"/>
          <w:szCs w:val="24"/>
        </w:rPr>
        <w:t>Hasil pada penelitian ini didukung dengan hasil penelitian terdahulu yang dilakukan oleh Parkash J. Singh, dkk (2017), Taufik Ardiyanto (2017), Mercedes Fernandes (2016), A. A Ngurah (2016) dan Sigit Hermawan (2014) yang menyatakan bahwa CSR berpengaruh terhadap Nilai Perusahaan. Begitupun penelitian yang dilakukan oleh Chen &amp; Lee (2017) menyatakan bahwa CSR tidak berkontribusi atau tidak berpengaruh dalam meningkatkan nilai perusahaan</w:t>
      </w:r>
      <w:r>
        <w:rPr>
          <w:rFonts w:ascii="Times New Roman" w:hAnsi="Times New Roman" w:cs="Times New Roman"/>
          <w:sz w:val="24"/>
          <w:szCs w:val="24"/>
        </w:rPr>
        <w:t xml:space="preserve">. </w:t>
      </w:r>
    </w:p>
    <w:p>
      <w:pPr>
        <w:ind w:firstLine="0"/>
        <w:rPr>
          <w:rFonts w:ascii="Times New Roman" w:hAnsi="Times New Roman" w:cs="Times New Roman"/>
          <w:sz w:val="24"/>
          <w:szCs w:val="24"/>
        </w:rPr>
      </w:pPr>
      <w:r>
        <w:rPr>
          <w:rFonts w:ascii="Times New Roman" w:hAnsi="Times New Roman" w:cs="Times New Roman"/>
          <w:b/>
          <w:sz w:val="24"/>
          <w:szCs w:val="24"/>
        </w:rPr>
        <w:t>4.6.4 Pengaruh Risiko Bisnis yang terdiri dari BRISK terhadap Nilai perusahaan</w:t>
      </w:r>
    </w:p>
    <w:p>
      <w:pPr>
        <w:ind w:firstLine="720"/>
        <w:rPr>
          <w:rStyle w:val="31"/>
          <w:rFonts w:ascii="Times New Roman" w:hAnsi="Times New Roman" w:cs="Times New Roman"/>
          <w:sz w:val="24"/>
          <w:szCs w:val="24"/>
        </w:rPr>
      </w:pPr>
      <w:r>
        <w:rPr>
          <w:rFonts w:ascii="Times New Roman" w:hAnsi="Times New Roman" w:cs="Times New Roman"/>
          <w:sz w:val="24"/>
          <w:szCs w:val="24"/>
        </w:rPr>
        <w:t>Hasil Penelitian secara statistic variabel Risiko bisnis</w:t>
      </w:r>
      <w:r>
        <w:rPr>
          <w:rFonts w:ascii="Times New Roman" w:hAnsi="Times New Roman" w:cs="Times New Roman"/>
          <w:b/>
          <w:sz w:val="24"/>
          <w:szCs w:val="24"/>
        </w:rPr>
        <w:t xml:space="preserve"> </w:t>
      </w:r>
      <w:r>
        <w:rPr>
          <w:rFonts w:ascii="Times New Roman" w:hAnsi="Times New Roman" w:cs="Times New Roman"/>
          <w:sz w:val="24"/>
          <w:szCs w:val="24"/>
        </w:rPr>
        <w:t xml:space="preserve">yang ditunjukkan pada  tabel 4.8 dengan nilai signifikan </w:t>
      </w:r>
      <w:r>
        <w:rPr>
          <w:rFonts w:ascii="Times New Roman" w:hAnsi="Times New Roman" w:cs="Times New Roman" w:eastAsiaTheme="minorEastAsia"/>
          <w:sz w:val="24"/>
          <w:szCs w:val="24"/>
        </w:rPr>
        <w:t>signifikan sebesar 0</w:t>
      </w:r>
      <w:r>
        <w:rPr>
          <w:rFonts w:ascii="Times New Roman" w:hAnsi="Times New Roman" w:cs="Times New Roman"/>
          <w:color w:val="010205"/>
          <w:sz w:val="24"/>
          <w:szCs w:val="24"/>
        </w:rPr>
        <w:t>.621</w:t>
      </w:r>
      <w:r>
        <w:rPr>
          <w:rFonts w:ascii="Times New Roman" w:hAnsi="Times New Roman" w:cs="Times New Roman" w:eastAsiaTheme="minorEastAsia"/>
          <w:sz w:val="24"/>
          <w:szCs w:val="24"/>
        </w:rPr>
        <w:t xml:space="preserve"> &gt; 0,05 Hal ini menunjukkan nilai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ctrlPr>
              <w:rPr>
                <w:rFonts w:ascii="Cambria Math" w:hAnsi="Times New Roman" w:cs="Times New Roman"/>
                <w:sz w:val="24"/>
                <w:szCs w:val="24"/>
              </w:rPr>
            </m:ctrlPr>
          </m:e>
          <m:sub>
            <m:r>
              <m:rPr>
                <m:sty m:val="p"/>
              </m:rPr>
              <w:rPr>
                <w:rFonts w:ascii="Cambria Math" w:hAnsi="Times New Roman" w:cs="Times New Roman"/>
                <w:sz w:val="24"/>
                <w:szCs w:val="24"/>
              </w:rPr>
              <m:t>hitung</m:t>
            </m:r>
            <m:ctrlPr>
              <w:rPr>
                <w:rFonts w:ascii="Cambria Math" w:hAnsi="Times New Roman" w:cs="Times New Roman"/>
                <w:sz w:val="24"/>
                <w:szCs w:val="24"/>
              </w:rPr>
            </m:ctrlPr>
          </m:sub>
        </m:sSub>
      </m:oMath>
      <w:r>
        <w:rPr>
          <w:rFonts w:ascii="Times New Roman" w:hAnsi="Times New Roman" w:cs="Times New Roman" w:eastAsiaTheme="minorEastAsia"/>
          <w:sz w:val="24"/>
          <w:szCs w:val="24"/>
        </w:rPr>
        <w:t xml:space="preserve"> &lt;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T</m:t>
            </m:r>
            <m:ctrlPr>
              <w:rPr>
                <w:rFonts w:ascii="Cambria Math" w:hAnsi="Times New Roman" w:cs="Times New Roman"/>
                <w:sz w:val="24"/>
                <w:szCs w:val="24"/>
              </w:rPr>
            </m:ctrlPr>
          </m:e>
          <m:sub>
            <m:r>
              <m:rPr>
                <m:sty m:val="p"/>
              </m:rPr>
              <w:rPr>
                <w:rFonts w:ascii="Cambria Math" w:hAnsi="Times New Roman" w:cs="Times New Roman"/>
                <w:sz w:val="24"/>
                <w:szCs w:val="24"/>
              </w:rPr>
              <m:t>tabel</m:t>
            </m:r>
            <m:ctrlPr>
              <w:rPr>
                <w:rFonts w:ascii="Cambria Math" w:hAnsi="Times New Roman" w:cs="Times New Roman"/>
                <w:sz w:val="24"/>
                <w:szCs w:val="24"/>
              </w:rPr>
            </m:ctrlPr>
          </m:sub>
        </m:sSub>
      </m:oMath>
      <w:r>
        <w:rPr>
          <w:rFonts w:ascii="Times New Roman" w:hAnsi="Times New Roman" w:cs="Times New Roman" w:eastAsiaTheme="minorEastAsia"/>
          <w:sz w:val="24"/>
          <w:szCs w:val="24"/>
        </w:rPr>
        <w:t xml:space="preserve">  yang berarti risiko bisnis tidak berpengaruh dan signifikan terhadap nilai perusahaan</w:t>
      </w:r>
      <w:r>
        <w:rPr>
          <w:rFonts w:ascii="Times New Roman" w:hAnsi="Times New Roman" w:cs="Times New Roman"/>
          <w:sz w:val="24"/>
          <w:szCs w:val="24"/>
        </w:rPr>
        <w:t xml:space="preserve">. </w:t>
      </w:r>
      <w:r>
        <w:rPr>
          <w:rStyle w:val="31"/>
          <w:rFonts w:ascii="Times New Roman" w:hAnsi="Times New Roman" w:cs="Times New Roman"/>
          <w:sz w:val="24"/>
          <w:szCs w:val="24"/>
        </w:rPr>
        <w:t>Hal ini menunjukkan risiko bisnis tidak berpengaruh terhadap nilai perusahaan dikarenakan t hitung lebih besar dari nilai t tabel. Penelitian ini menemukan risiko bisnis tidak berpengaruh terhadap nilai perusahaan yang menunjukkan semakin tinggi risiko bisnis, maka akan semakin tinggi pula risiko kebangkrutan pada perusahaan tersebut begitu pula sebaliknya</w:t>
      </w:r>
    </w:p>
    <w:p>
      <w:pPr>
        <w:ind w:firstLine="720"/>
        <w:rPr>
          <w:rStyle w:val="31"/>
          <w:rFonts w:ascii="Times New Roman" w:hAnsi="Times New Roman" w:cs="Times New Roman"/>
          <w:sz w:val="24"/>
          <w:szCs w:val="24"/>
        </w:rPr>
      </w:pPr>
      <w:r>
        <w:rPr>
          <w:rStyle w:val="31"/>
          <w:rFonts w:ascii="Times New Roman" w:hAnsi="Times New Roman" w:cs="Times New Roman"/>
          <w:sz w:val="24"/>
          <w:szCs w:val="24"/>
        </w:rPr>
        <w:t>Risiko bisnis terjadi disebabkan karena penggunaan utang oleh perusahaan untuk aktivitas operasional. Penggunaan utang dalam pendanaan perusahaan awalnya akan meningkatkan kemampuan perusahaan dalam menghasilkan laba, karena tingkat suku bunga yang relatif rendah dibandingkan dengan kemampuan perusahaan dalam memperoleh laba (</w:t>
      </w:r>
      <w:r>
        <w:fldChar w:fldCharType="begin"/>
      </w:r>
      <w:r>
        <w:instrText xml:space="preserve"> HYPERLINK "http://www.bi.go.id" </w:instrText>
      </w:r>
      <w:r>
        <w:fldChar w:fldCharType="separate"/>
      </w:r>
      <w:r>
        <w:rPr>
          <w:rStyle w:val="12"/>
          <w:rFonts w:ascii="Times New Roman" w:hAnsi="Times New Roman" w:cs="Times New Roman"/>
          <w:color w:val="auto"/>
          <w:sz w:val="24"/>
          <w:szCs w:val="24"/>
          <w:u w:val="none"/>
        </w:rPr>
        <w:t>www.bi.go.id</w:t>
      </w:r>
      <w:r>
        <w:rPr>
          <w:rStyle w:val="12"/>
          <w:rFonts w:ascii="Times New Roman" w:hAnsi="Times New Roman" w:cs="Times New Roman"/>
          <w:color w:val="auto"/>
          <w:sz w:val="24"/>
          <w:szCs w:val="24"/>
          <w:u w:val="none"/>
        </w:rPr>
        <w:fldChar w:fldCharType="end"/>
      </w:r>
      <w:r>
        <w:rPr>
          <w:rStyle w:val="31"/>
          <w:rFonts w:ascii="Times New Roman" w:hAnsi="Times New Roman" w:cs="Times New Roman"/>
          <w:sz w:val="24"/>
          <w:szCs w:val="24"/>
        </w:rPr>
        <w:t xml:space="preserve">). Menurut (Fitriani, 2019) Jika ini berlangsung secara terus menerus, maka harga saham yang dihasilkan akan semakin kecil, yang disebabkan karena penggunaan hutang akan meningkatkan suku bunga dan risiko yang akan dihadapi semakin tinggi. Besar atau kecilnya risiko yang akan dihadapi perusahaan merupakan seberapa besar harapan atau keinginan keuntungan yang diperoleh. Dengan kondisi seperti ini, perusahaan sebaiknya menghindari penggunaan hutang, sebab akan mempengaruhi kemampuan perusahaan untuk menghasilkan keuntungan lebih kecil. </w:t>
      </w:r>
    </w:p>
    <w:p>
      <w:pPr>
        <w:ind w:firstLine="567"/>
        <w:rPr>
          <w:rStyle w:val="31"/>
          <w:rFonts w:ascii="Times New Roman" w:hAnsi="Times New Roman" w:cs="Times New Roman"/>
          <w:sz w:val="24"/>
          <w:szCs w:val="24"/>
        </w:rPr>
      </w:pPr>
      <w:r>
        <w:rPr>
          <w:rStyle w:val="31"/>
          <w:rFonts w:ascii="Times New Roman" w:hAnsi="Times New Roman" w:cs="Times New Roman"/>
          <w:sz w:val="24"/>
          <w:szCs w:val="24"/>
        </w:rPr>
        <w:t>Risiko bisnis tidak berpengaruh terhadap nilai perusahaan artinya tidak ada hubungan antara risiko bisnis dan nilai perusahaan sehingga jika risiko bisnis mengalami kenaikan atau penurunan tidak berdampak pada nilai perusahaan. Risiko bisnis yang tidak berpengaruh terhadap nilai perusahaan memperlihatkan bahwa investor tidak memberikan respon apapun atas peningkatan risiko bisnis yang dimiliki oleh perusahaan, sehingga tidak berdampak pada menurunnya nilai perusahaan yang tercermin dari menurunnya harga saham.</w:t>
      </w:r>
    </w:p>
    <w:p>
      <w:pPr>
        <w:ind w:firstLine="567"/>
        <w:rPr>
          <w:rStyle w:val="31"/>
          <w:rFonts w:ascii="Times New Roman" w:hAnsi="Times New Roman" w:cs="Times New Roman"/>
          <w:sz w:val="24"/>
          <w:szCs w:val="24"/>
        </w:rPr>
      </w:pPr>
      <w:r>
        <w:rPr>
          <w:rStyle w:val="31"/>
          <w:rFonts w:ascii="Times New Roman" w:hAnsi="Times New Roman" w:cs="Times New Roman"/>
          <w:sz w:val="24"/>
          <w:szCs w:val="24"/>
        </w:rPr>
        <w:t xml:space="preserve">Risiko merupakan risiko yang terjadi dan memiliki dampak terhadap kelangsungan hidup perusahaan atau saham-saham yang ada pada perusahaan. Dalam konsep risiko dan return, return dianggap mempunyai searah dengan yang dihadapi oleh sebuah investasi. Semakin tinggi risiko yang ditanggung investor, semakin tinggi pula return yang diharapkan oleh investor dari investasi tersebut. Apabila investasi tersebut dianggap tidak mengandung risiko, maka investor mengharapkan tingkat keuntungan bebas risiko. Investasi dalam saham dianggap investasi yang mengandung risiko (Fitriani, 2019). Risiko Bisnis tersebut berasal dari adanya ketidakpastian return yang akan diterima oleh investor, sehingga dari saham yang dimiliki investor diharapkan akan diperoleh suatu keuntungan yang lebih tinggi dari keuntungan bebas risiko. </w:t>
      </w:r>
      <w:r>
        <w:rPr>
          <w:rFonts w:ascii="Times New Roman" w:hAnsi="Times New Roman" w:cs="Times New Roman"/>
          <w:sz w:val="24"/>
          <w:szCs w:val="24"/>
        </w:rPr>
        <w:t>S</w:t>
      </w:r>
      <w:r>
        <w:rPr>
          <w:rStyle w:val="31"/>
          <w:rFonts w:ascii="Times New Roman" w:hAnsi="Times New Roman" w:cs="Times New Roman"/>
          <w:sz w:val="24"/>
          <w:szCs w:val="24"/>
        </w:rPr>
        <w:t>ecara keseluruhan, semakin tinggi tingkat risiko suatu perusahaan, maka semakin tinggi keuntungan yang akan diperoleh perusahaan. Sebaliknya ketika risiko yang diperoleh rendah, maka pendapatan yang dihasilkan akan ikut rendah ketika tidak dikelola dengan baik.</w:t>
      </w:r>
    </w:p>
    <w:p>
      <w:pPr>
        <w:ind w:firstLine="567"/>
        <w:rPr>
          <w:rFonts w:ascii="Times New Roman" w:hAnsi="Times New Roman" w:cs="Times New Roman"/>
          <w:sz w:val="24"/>
          <w:szCs w:val="24"/>
        </w:rPr>
      </w:pPr>
      <w:r>
        <w:rPr>
          <w:rStyle w:val="31"/>
          <w:rFonts w:ascii="Times New Roman" w:hAnsi="Times New Roman" w:cs="Times New Roman"/>
          <w:sz w:val="24"/>
          <w:szCs w:val="24"/>
        </w:rPr>
        <w:t>Hal ini sesuai dengan pernyataan yang dikemukakan oleh Arfan dkk. (2018) antara risiko bisnis dan return atau keuntungan bersifat searah, dimana semakin besar keinginan untuk memperoleh keuntungan akan diikuti oleh risiko yang besar pula. Hasil penelitian ini sejalan dengan penelitian Anggraeni dkk. (2018) bahwa risiko bisnis berpengaruh positif terhadap nilai perusahaan.</w:t>
      </w:r>
    </w:p>
    <w:p>
      <w:pPr>
        <w:pStyle w:val="23"/>
        <w:numPr>
          <w:ilvl w:val="2"/>
          <w:numId w:val="60"/>
        </w:numPr>
        <w:tabs>
          <w:tab w:val="left" w:pos="720"/>
        </w:tabs>
        <w:autoSpaceDE w:val="0"/>
        <w:autoSpaceDN w:val="0"/>
        <w:adjustRightInd w:val="0"/>
        <w:ind w:hanging="1080"/>
        <w:rPr>
          <w:rFonts w:ascii="Times New Roman" w:hAnsi="Times New Roman" w:cs="Times New Roman"/>
          <w:b/>
          <w:sz w:val="24"/>
          <w:szCs w:val="24"/>
        </w:rPr>
      </w:pPr>
      <w:r>
        <w:rPr>
          <w:rFonts w:ascii="Times New Roman" w:hAnsi="Times New Roman" w:cs="Times New Roman"/>
          <w:b/>
          <w:sz w:val="24"/>
          <w:szCs w:val="24"/>
        </w:rPr>
        <w:t xml:space="preserve">Pengaruh </w:t>
      </w:r>
      <w:r>
        <w:rPr>
          <w:rFonts w:ascii="Times New Roman" w:hAnsi="Times New Roman" w:cs="Times New Roman"/>
          <w:b/>
          <w:i/>
          <w:sz w:val="24"/>
          <w:szCs w:val="24"/>
        </w:rPr>
        <w:t>Invesment Opportunity Set, Corrporate Social Responbility</w:t>
      </w:r>
      <w:r>
        <w:rPr>
          <w:rFonts w:ascii="Times New Roman" w:hAnsi="Times New Roman" w:cs="Times New Roman"/>
          <w:b/>
          <w:sz w:val="24"/>
          <w:szCs w:val="24"/>
        </w:rPr>
        <w:t xml:space="preserve">, Dan Risiko Bisnis Terhadap Nilai Perusahaan </w:t>
      </w:r>
    </w:p>
    <w:p>
      <w:pPr>
        <w:tabs>
          <w:tab w:val="left" w:pos="720"/>
        </w:tabs>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Berdasarkan hasil uji hipotesis tersebut dapat disimpulkan bahwa variabel </w:t>
      </w:r>
      <w:r>
        <w:rPr>
          <w:rFonts w:ascii="Times New Roman" w:hAnsi="Times New Roman" w:cs="Times New Roman"/>
          <w:i/>
          <w:sz w:val="24"/>
          <w:szCs w:val="24"/>
        </w:rPr>
        <w:t>Invesment Opportunity Set, Corrporate Social Responbility</w:t>
      </w:r>
      <w:r>
        <w:rPr>
          <w:rFonts w:ascii="Times New Roman" w:hAnsi="Times New Roman" w:cs="Times New Roman"/>
          <w:sz w:val="24"/>
          <w:szCs w:val="24"/>
        </w:rPr>
        <w:t xml:space="preserve">, Dan Risiko Bisnis berpengaruh bersama-sama terhadap Nilai Perusahaaan. Hal ini disebabkan karena adanya program CSR dan </w:t>
      </w:r>
      <w:r>
        <w:rPr>
          <w:rFonts w:ascii="Times New Roman" w:hAnsi="Times New Roman" w:cs="Times New Roman"/>
          <w:i/>
          <w:sz w:val="24"/>
          <w:szCs w:val="24"/>
        </w:rPr>
        <w:t>Market To Book Value Equity</w:t>
      </w:r>
      <w:r>
        <w:rPr>
          <w:rFonts w:ascii="Times New Roman" w:hAnsi="Times New Roman" w:cs="Times New Roman"/>
          <w:sz w:val="24"/>
          <w:szCs w:val="24"/>
        </w:rPr>
        <w:t xml:space="preserve">  dilakukan dengan baik oleh perusahaan, sehingga nilai </w:t>
      </w:r>
      <w:r>
        <w:rPr>
          <w:rFonts w:ascii="Times New Roman" w:hAnsi="Times New Roman" w:cs="Times New Roman"/>
          <w:i/>
          <w:sz w:val="24"/>
          <w:szCs w:val="24"/>
        </w:rPr>
        <w:t xml:space="preserve">Capital Expenditure To Book Value Assets dan </w:t>
      </w:r>
      <w:r>
        <w:rPr>
          <w:rFonts w:ascii="Times New Roman" w:hAnsi="Times New Roman" w:cs="Times New Roman"/>
          <w:sz w:val="24"/>
          <w:szCs w:val="24"/>
        </w:rPr>
        <w:t xml:space="preserve">risiko bisnis perusahaan semakin rendah dan berdampak pada nilai perusahaan </w:t>
      </w:r>
      <w:sdt>
        <w:sdtPr>
          <w:rPr>
            <w:rStyle w:val="31"/>
            <w:rFonts w:ascii="Times New Roman" w:hAnsi="Times New Roman" w:cs="Times New Roman"/>
            <w:sz w:val="24"/>
            <w:szCs w:val="24"/>
          </w:rPr>
          <w:id w:val="1393854407"/>
        </w:sdtPr>
        <w:sdtEndPr>
          <w:rPr>
            <w:rStyle w:val="31"/>
            <w:rFonts w:ascii="Times New Roman" w:hAnsi="Times New Roman" w:cs="Times New Roman"/>
            <w:sz w:val="24"/>
            <w:szCs w:val="24"/>
          </w:rPr>
        </w:sdtEndPr>
        <w:sdtContent>
          <w:r>
            <w:rPr>
              <w:rStyle w:val="31"/>
              <w:rFonts w:ascii="Times New Roman" w:hAnsi="Times New Roman" w:cs="Times New Roman"/>
              <w:sz w:val="24"/>
              <w:szCs w:val="24"/>
            </w:rPr>
            <w:fldChar w:fldCharType="begin"/>
          </w:r>
          <w:r>
            <w:rPr>
              <w:rStyle w:val="31"/>
              <w:rFonts w:ascii="Times New Roman" w:hAnsi="Times New Roman" w:cs="Times New Roman"/>
              <w:sz w:val="24"/>
              <w:szCs w:val="24"/>
            </w:rPr>
            <w:instrText xml:space="preserve"> CITATION Yul20 \l 1033  </w:instrText>
          </w:r>
          <w:r>
            <w:rPr>
              <w:rStyle w:val="31"/>
              <w:rFonts w:ascii="Times New Roman" w:hAnsi="Times New Roman" w:cs="Times New Roman"/>
              <w:sz w:val="24"/>
              <w:szCs w:val="24"/>
            </w:rPr>
            <w:fldChar w:fldCharType="separate"/>
          </w:r>
          <w:r>
            <w:rPr>
              <w:rFonts w:ascii="Times New Roman" w:hAnsi="Times New Roman" w:cs="Times New Roman"/>
              <w:sz w:val="24"/>
              <w:szCs w:val="24"/>
            </w:rPr>
            <w:t>(Yuliandari, 2020)</w:t>
          </w:r>
          <w:r>
            <w:rPr>
              <w:rStyle w:val="31"/>
              <w:rFonts w:ascii="Times New Roman" w:hAnsi="Times New Roman" w:cs="Times New Roman"/>
              <w:sz w:val="24"/>
              <w:szCs w:val="24"/>
            </w:rPr>
            <w:fldChar w:fldCharType="end"/>
          </w:r>
        </w:sdtContent>
      </w:sdt>
    </w:p>
    <w:p>
      <w:pPr>
        <w:tabs>
          <w:tab w:val="left" w:pos="720"/>
        </w:tabs>
        <w:autoSpaceDE w:val="0"/>
        <w:autoSpaceDN w:val="0"/>
        <w:adjustRightInd w:val="0"/>
        <w:ind w:firstLine="0"/>
        <w:rPr>
          <w:rFonts w:ascii="Times New Roman" w:hAnsi="Times New Roman" w:eastAsia="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Hal ini disebabkan pertumbuhan pada sub sektor perbankan </w:t>
      </w:r>
      <w:r>
        <w:rPr>
          <w:rFonts w:ascii="Times New Roman" w:hAnsi="Times New Roman" w:eastAsia="Times New Roman" w:cs="Times New Roman"/>
          <w:sz w:val="24"/>
          <w:szCs w:val="24"/>
        </w:rPr>
        <w:t xml:space="preserve">menunjukkan bahwa perbankan menjalankan kegiatan usahanya dengan mengandalkan aset yang besar. Menurut </w:t>
      </w:r>
      <w:sdt>
        <w:sdtPr>
          <w:rPr>
            <w:rFonts w:ascii="Times New Roman" w:hAnsi="Times New Roman" w:eastAsia="Times New Roman" w:cs="Times New Roman"/>
            <w:sz w:val="24"/>
            <w:szCs w:val="24"/>
          </w:rPr>
          <w:id w:val="1468243719"/>
        </w:sdtPr>
        <w:sdtEndPr>
          <w:rPr>
            <w:rFonts w:ascii="Times New Roman" w:hAnsi="Times New Roman" w:eastAsia="Times New Roman" w:cs="Times New Roman"/>
            <w:sz w:val="24"/>
            <w:szCs w:val="24"/>
          </w:rPr>
        </w:sdtEndPr>
        <w:sdtContent>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CITATION Isn19 \l 1033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(Isnania, 2019)</w:t>
          </w:r>
          <w:r>
            <w:rPr>
              <w:rFonts w:ascii="Times New Roman" w:hAnsi="Times New Roman" w:eastAsia="Times New Roman" w:cs="Times New Roman"/>
              <w:sz w:val="24"/>
              <w:szCs w:val="24"/>
            </w:rPr>
            <w:fldChar w:fldCharType="end"/>
          </w:r>
        </w:sdtContent>
      </w:sdt>
      <w:r>
        <w:rPr>
          <w:rFonts w:ascii="Times New Roman" w:hAnsi="Times New Roman" w:eastAsia="Times New Roman" w:cs="Times New Roman"/>
          <w:sz w:val="24"/>
          <w:szCs w:val="24"/>
        </w:rPr>
        <w:t xml:space="preserve"> Penggunaan aset dalam jumlah yang besar dalam kegiatan perbankan dapat memberikan sinyal positif yang dapat ditankap investor sebagai </w:t>
      </w:r>
      <w:r>
        <w:rPr>
          <w:rFonts w:ascii="Times New Roman" w:hAnsi="Times New Roman" w:eastAsia="Times New Roman" w:cs="Times New Roman"/>
          <w:i/>
          <w:sz w:val="24"/>
          <w:szCs w:val="24"/>
        </w:rPr>
        <w:t xml:space="preserve">good new. </w:t>
      </w:r>
      <w:r>
        <w:rPr>
          <w:rFonts w:ascii="Times New Roman" w:hAnsi="Times New Roman" w:eastAsia="Times New Roman" w:cs="Times New Roman"/>
          <w:sz w:val="24"/>
          <w:szCs w:val="24"/>
        </w:rPr>
        <w:t xml:space="preserve"> karena semakin besar aset yang digunakan perbankan maka semakin besar pula kemungkinan perbankan untuk berkembang, hal tersebut berdampak pada naiknya harga saham yang diikuti dengan naiknya nilai perusahaan. </w:t>
      </w:r>
    </w:p>
    <w:p>
      <w:pPr>
        <w:tabs>
          <w:tab w:val="left" w:pos="720"/>
        </w:tabs>
        <w:autoSpaceDE w:val="0"/>
        <w:autoSpaceDN w:val="0"/>
        <w:adjustRightInd w:val="0"/>
        <w:ind w:firstLine="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eastAsia="Times New Roman" w:cs="Times New Roman"/>
          <w:sz w:val="24"/>
          <w:szCs w:val="24"/>
        </w:rPr>
        <w:t xml:space="preserve">Penambahan aset berupa aset tetap yang dilakukan perbankan dapat menyebabkan laba yang dibagikan perbankan terhadap pemegang saham akan berkurang, hal tersebut karena laba yang diperoleh perbankan akan digunakan perbankan untuk memperbarui aset-aset tetapnya agar tetap dapat menunjang kegiatan perusahaan. Hal ini dapat memberikan sinyal negatif pada pemegang saham karena perbankan akan mengurangi dividen yang akan diterima investor. Oleh sebab itu meningkatnya aset tetap perusahaan tidak berpengaruh signifikan terhadap nilai perusahaan </w:t>
      </w:r>
      <w:sdt>
        <w:sdtPr>
          <w:rPr>
            <w:rFonts w:ascii="Times New Roman" w:hAnsi="Times New Roman" w:eastAsia="Times New Roman" w:cs="Times New Roman"/>
            <w:sz w:val="24"/>
            <w:szCs w:val="24"/>
          </w:rPr>
          <w:id w:val="1468243721"/>
        </w:sdtPr>
        <w:sdtEndPr>
          <w:rPr>
            <w:rFonts w:ascii="Times New Roman" w:hAnsi="Times New Roman" w:eastAsia="Times New Roman" w:cs="Times New Roman"/>
            <w:sz w:val="24"/>
            <w:szCs w:val="24"/>
          </w:rPr>
        </w:sdtEndPr>
        <w:sdtContent>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CITATION Isn19 \l 1033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(Isnania, 2019)</w:t>
          </w:r>
          <w:r>
            <w:rPr>
              <w:rFonts w:ascii="Times New Roman" w:hAnsi="Times New Roman" w:eastAsia="Times New Roman" w:cs="Times New Roman"/>
              <w:sz w:val="24"/>
              <w:szCs w:val="24"/>
            </w:rPr>
            <w:fldChar w:fldCharType="end"/>
          </w:r>
        </w:sdtContent>
      </w:sdt>
      <w:r>
        <w:rPr>
          <w:rFonts w:ascii="Times New Roman" w:hAnsi="Times New Roman" w:eastAsia="Times New Roman" w:cs="Times New Roman"/>
          <w:sz w:val="24"/>
          <w:szCs w:val="24"/>
        </w:rPr>
        <w:t>.</w:t>
      </w:r>
    </w:p>
    <w:p>
      <w:pPr>
        <w:tabs>
          <w:tab w:val="left" w:pos="720"/>
        </w:tabs>
        <w:autoSpaceDE w:val="0"/>
        <w:autoSpaceDN w:val="0"/>
        <w:adjustRightInd w:val="0"/>
        <w:ind w:firstLine="0"/>
        <w:rPr>
          <w:rFonts w:ascii="Times New Roman" w:hAnsi="Times New Roman" w:cs="Times New Roman"/>
          <w:sz w:val="24"/>
          <w:szCs w:val="24"/>
        </w:rPr>
      </w:pPr>
      <w:r>
        <w:rPr>
          <w:rStyle w:val="31"/>
          <w:rFonts w:ascii="Times New Roman" w:hAnsi="Times New Roman" w:cs="Times New Roman"/>
          <w:sz w:val="24"/>
          <w:szCs w:val="24"/>
        </w:rPr>
        <w:tab/>
      </w:r>
      <w:r>
        <w:rPr>
          <w:rStyle w:val="31"/>
          <w:rFonts w:ascii="Times New Roman" w:hAnsi="Times New Roman" w:cs="Times New Roman"/>
          <w:sz w:val="24"/>
          <w:szCs w:val="24"/>
        </w:rPr>
        <w:t xml:space="preserve"> Meningkatkan Nilai Perusahaan, perusahaan harus memperhatikan risiko-risiko bisnis yang akan dihadapi dengan baik, dan perusahaan dapat meminimalisir risiko-risiko tersebut, sehingga dalam penelitian ini diperoleh hasil berpengaruh, p</w:t>
      </w:r>
      <w:r>
        <w:rPr>
          <w:rFonts w:ascii="Times New Roman" w:hAnsi="Times New Roman" w:cs="Times New Roman"/>
          <w:sz w:val="24"/>
          <w:szCs w:val="24"/>
        </w:rPr>
        <w:t xml:space="preserve">erusahaan yang memiliki risiko bisnis yang meningkat akan menyebabkan investor ragu-ragu untuk menanamkan dananya pada perusahaan tersebut karena perusahaan telah memiliki ancaman tidak dapat melunasi utangnya dan prospek perusahaan akan menjadi kurang baik dimata investor karena ketidakmampuan perusahaan untuk memberikan kemakmuran bagi para pemegang saham, sehingga investor akan menurunkan permintaan atas saham perusahaan menyebabkan harga saham perusahaan dipasaran mengalami penurunan dan hal ini akan berdampak juga pada menurunnya nilai perusahaan </w:t>
      </w:r>
      <w:sdt>
        <w:sdtPr>
          <w:rPr>
            <w:rFonts w:ascii="Times New Roman" w:hAnsi="Times New Roman" w:cs="Times New Roman"/>
            <w:sz w:val="24"/>
            <w:szCs w:val="24"/>
          </w:rPr>
          <w:id w:val="1468243722"/>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YUN171 \l 1033  </w:instrText>
          </w:r>
          <w:r>
            <w:rPr>
              <w:rFonts w:ascii="Times New Roman" w:hAnsi="Times New Roman" w:cs="Times New Roman"/>
              <w:sz w:val="24"/>
              <w:szCs w:val="24"/>
            </w:rPr>
            <w:fldChar w:fldCharType="separate"/>
          </w:r>
          <w:r>
            <w:rPr>
              <w:rFonts w:ascii="Times New Roman" w:hAnsi="Times New Roman" w:cs="Times New Roman"/>
              <w:sz w:val="24"/>
              <w:szCs w:val="24"/>
            </w:rPr>
            <w:t>(Yunan, 2017)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pPr>
        <w:tabs>
          <w:tab w:val="left" w:pos="720"/>
        </w:tabs>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Dengan demikian, meningkatnya risiko bisnis akan mengakibatkan nilai perusahaan menurun. Sesuai dengan trade </w:t>
      </w:r>
      <w:r>
        <w:rPr>
          <w:rFonts w:ascii="Times New Roman" w:hAnsi="Times New Roman" w:cs="Times New Roman"/>
          <w:i/>
          <w:sz w:val="24"/>
          <w:szCs w:val="24"/>
        </w:rPr>
        <w:t>off theory</w:t>
      </w:r>
      <w:r>
        <w:rPr>
          <w:rFonts w:ascii="Times New Roman" w:hAnsi="Times New Roman" w:cs="Times New Roman"/>
          <w:sz w:val="24"/>
          <w:szCs w:val="24"/>
        </w:rPr>
        <w:t xml:space="preserve"> yang menyatakan bahwa semakin besar hutang maka semakin besar risiko kebangkrutan yang akan ditanggung perusahaan sehingga akan menyebabkan nilai perusahaan menjadi turun, hal ini disebabkan semakin besarnya beban bunga tetap yang harus dibayarkan akan meningkatkan risiko selanjutnya pendapatan yang diperoleh semakin menurun dan berdampak pada risiko yang timbul dan berakibat pada nilai perusahaan </w:t>
      </w:r>
      <w:sdt>
        <w:sdtPr>
          <w:rPr>
            <w:rFonts w:ascii="Times New Roman" w:hAnsi="Times New Roman" w:cs="Times New Roman"/>
            <w:sz w:val="24"/>
            <w:szCs w:val="24"/>
          </w:rPr>
          <w:id w:val="1468243725"/>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YUN171 \l 1033  </w:instrText>
          </w:r>
          <w:r>
            <w:rPr>
              <w:rFonts w:ascii="Times New Roman" w:hAnsi="Times New Roman" w:cs="Times New Roman"/>
              <w:sz w:val="24"/>
              <w:szCs w:val="24"/>
            </w:rPr>
            <w:fldChar w:fldCharType="separate"/>
          </w:r>
          <w:r>
            <w:rPr>
              <w:rFonts w:ascii="Times New Roman" w:hAnsi="Times New Roman" w:cs="Times New Roman"/>
              <w:sz w:val="24"/>
              <w:szCs w:val="24"/>
            </w:rPr>
            <w:t>(Yunan,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Menurut </w:t>
      </w:r>
      <w:sdt>
        <w:sdtPr>
          <w:rPr>
            <w:rFonts w:ascii="Times New Roman" w:hAnsi="Times New Roman" w:cs="Times New Roman"/>
            <w:sz w:val="24"/>
            <w:szCs w:val="24"/>
          </w:rPr>
          <w:id w:val="1468243936"/>
        </w:sdtPr>
        <w:sdtEndPr>
          <w:rPr>
            <w:rFonts w:ascii="Times New Roman" w:hAnsi="Times New Roman" w:cs="Times New Roman"/>
            <w:sz w:val="24"/>
            <w:szCs w:val="24"/>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Sar16 \l 1033 </w:instrText>
          </w:r>
          <w:r>
            <w:rPr>
              <w:rFonts w:ascii="Times New Roman" w:hAnsi="Times New Roman" w:cs="Times New Roman"/>
              <w:sz w:val="24"/>
              <w:szCs w:val="24"/>
            </w:rPr>
            <w:fldChar w:fldCharType="separate"/>
          </w:r>
          <w:r>
            <w:rPr>
              <w:rFonts w:ascii="Times New Roman" w:hAnsi="Times New Roman" w:cs="Times New Roman"/>
              <w:sz w:val="24"/>
              <w:szCs w:val="24"/>
            </w:rPr>
            <w:t>(Saraswathi &amp; dkk,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Risiko bisnis yang tinggi akan mengurangi kemampuan perusahaan untuk memperoleh pinjaman karena perusahaan tidak akan sanggup dalam menanggung beban tetap dari hutang.</w:t>
      </w:r>
    </w:p>
    <w:p>
      <w:pPr>
        <w:tabs>
          <w:tab w:val="left" w:pos="720"/>
        </w:tabs>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ab/>
      </w:r>
      <w:r>
        <w:rPr>
          <w:rStyle w:val="31"/>
          <w:rFonts w:ascii="Times New Roman" w:hAnsi="Times New Roman" w:cs="Times New Roman"/>
          <w:sz w:val="24"/>
          <w:szCs w:val="24"/>
        </w:rPr>
        <w:t xml:space="preserve">Hasil penelitian ini didukung oleh hasil penelitian Wiagustini (2015) menyatakan di dalam penelitiannya ialah </w:t>
      </w:r>
      <w:r>
        <w:rPr>
          <w:rStyle w:val="31"/>
          <w:rFonts w:ascii="Times New Roman" w:hAnsi="Times New Roman" w:cs="Times New Roman"/>
          <w:i/>
          <w:sz w:val="24"/>
          <w:szCs w:val="24"/>
        </w:rPr>
        <w:t>invesment opportunity set</w:t>
      </w:r>
      <w:r>
        <w:rPr>
          <w:rStyle w:val="31"/>
          <w:rFonts w:ascii="Times New Roman" w:hAnsi="Times New Roman" w:cs="Times New Roman"/>
          <w:sz w:val="24"/>
          <w:szCs w:val="24"/>
        </w:rPr>
        <w:t xml:space="preserve"> dan </w:t>
      </w:r>
      <w:r>
        <w:rPr>
          <w:rStyle w:val="31"/>
          <w:rFonts w:ascii="Times New Roman" w:hAnsi="Times New Roman" w:cs="Times New Roman"/>
          <w:i/>
          <w:sz w:val="24"/>
          <w:szCs w:val="24"/>
        </w:rPr>
        <w:t xml:space="preserve">corporate social responbility </w:t>
      </w:r>
      <w:r>
        <w:rPr>
          <w:rStyle w:val="31"/>
          <w:rFonts w:ascii="Times New Roman" w:hAnsi="Times New Roman" w:cs="Times New Roman"/>
          <w:sz w:val="24"/>
          <w:szCs w:val="24"/>
        </w:rPr>
        <w:t xml:space="preserve">berpengaruh positif pada nilai perusahaan. serta dalam penelitian Syardiana (2015) risiko bisnis berpengaruh terhadap nilai perusahaan. </w:t>
      </w:r>
      <w:r>
        <w:rPr>
          <w:rFonts w:ascii="Times New Roman" w:hAnsi="Times New Roman" w:cs="Times New Roman"/>
          <w:sz w:val="24"/>
          <w:szCs w:val="24"/>
        </w:rPr>
        <w:t>Hasil penelitian ini dilakukan oleh Ni Luh Putu Wiagustini (2015) menyatakan bahwa risiko bisnis berpengaruh terhadap nilai perusahaan.</w:t>
      </w:r>
    </w:p>
    <w:p>
      <w:pPr>
        <w:tabs>
          <w:tab w:val="left" w:pos="720"/>
        </w:tabs>
        <w:autoSpaceDE w:val="0"/>
        <w:autoSpaceDN w:val="0"/>
        <w:adjustRightInd w:val="0"/>
        <w:ind w:firstLine="0"/>
        <w:rPr>
          <w:rFonts w:ascii="Times New Roman" w:hAnsi="Times New Roman" w:cs="Times New Roman"/>
          <w:sz w:val="24"/>
          <w:szCs w:val="24"/>
        </w:rPr>
      </w:pPr>
    </w:p>
    <w:p>
      <w:pPr>
        <w:pStyle w:val="23"/>
        <w:tabs>
          <w:tab w:val="left" w:pos="2865"/>
        </w:tabs>
        <w:ind w:firstLine="0"/>
        <w:rPr>
          <w:rFonts w:ascii="Times New Roman" w:hAnsi="Times New Roman" w:cs="Times New Roman"/>
          <w:sz w:val="24"/>
          <w:szCs w:val="24"/>
        </w:rPr>
      </w:pPr>
    </w:p>
    <w:p>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pPr>
        <w:tabs>
          <w:tab w:val="left" w:pos="3850"/>
          <w:tab w:val="center" w:pos="4326"/>
        </w:tabs>
        <w:autoSpaceDE w:val="0"/>
        <w:autoSpaceDN w:val="0"/>
        <w:adjustRightInd w:val="0"/>
        <w:ind w:firstLine="720"/>
        <w:jc w:val="left"/>
        <w:rPr>
          <w:rFonts w:ascii="Times New Roman" w:hAnsi="Times New Roman" w:cs="Times New Roman"/>
          <w:b/>
          <w:sz w:val="24"/>
          <w:szCs w:val="24"/>
        </w:rPr>
        <w:sectPr>
          <w:pgSz w:w="11907" w:h="16840"/>
          <w:pgMar w:top="2250" w:right="1699" w:bottom="1699" w:left="2275" w:header="1728" w:footer="1728" w:gutter="0"/>
          <w:pgNumType w:start="61"/>
          <w:cols w:space="720" w:num="1"/>
          <w:titlePg/>
          <w:docGrid w:linePitch="360" w:charSpace="0"/>
        </w:sectPr>
      </w:pPr>
      <w:r>
        <w:rPr>
          <w:rFonts w:ascii="Times New Roman" w:hAnsi="Times New Roman" w:cs="Times New Roman"/>
          <w:b/>
          <w:sz w:val="24"/>
          <w:szCs w:val="24"/>
        </w:rPr>
        <w:tab/>
      </w:r>
    </w:p>
    <w:p>
      <w:pPr>
        <w:tabs>
          <w:tab w:val="left" w:pos="3850"/>
          <w:tab w:val="center" w:pos="4326"/>
        </w:tabs>
        <w:autoSpaceDE w:val="0"/>
        <w:autoSpaceDN w:val="0"/>
        <w:adjustRightInd w:val="0"/>
        <w:ind w:firstLine="72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BAB V</w:t>
      </w:r>
    </w:p>
    <w:p>
      <w:pPr>
        <w:autoSpaceDE w:val="0"/>
        <w:autoSpaceDN w:val="0"/>
        <w:adjustRightInd w:val="0"/>
        <w:ind w:firstLine="720"/>
        <w:jc w:val="center"/>
        <w:rPr>
          <w:rFonts w:ascii="Times New Roman" w:hAnsi="Times New Roman" w:cs="Times New Roman"/>
          <w:b/>
          <w:sz w:val="24"/>
          <w:szCs w:val="24"/>
        </w:rPr>
      </w:pPr>
      <w:r>
        <w:rPr>
          <w:rFonts w:ascii="Times New Roman" w:hAnsi="Times New Roman" w:cs="Times New Roman"/>
          <w:b/>
          <w:sz w:val="24"/>
          <w:szCs w:val="24"/>
        </w:rPr>
        <w:t>KESIMPULAN DAN SARAN</w:t>
      </w:r>
    </w:p>
    <w:p>
      <w:pPr>
        <w:pStyle w:val="23"/>
        <w:numPr>
          <w:ilvl w:val="1"/>
          <w:numId w:val="55"/>
        </w:numPr>
        <w:tabs>
          <w:tab w:val="left" w:pos="450"/>
          <w:tab w:val="left" w:pos="720"/>
        </w:tabs>
        <w:autoSpaceDE w:val="0"/>
        <w:autoSpaceDN w:val="0"/>
        <w:adjustRightInd w:val="0"/>
        <w:ind w:left="810" w:hanging="810"/>
        <w:rPr>
          <w:rFonts w:ascii="Times New Roman" w:hAnsi="Times New Roman" w:cs="Times New Roman"/>
          <w:b/>
          <w:sz w:val="24"/>
          <w:szCs w:val="24"/>
        </w:rPr>
      </w:pPr>
      <w:r>
        <w:rPr>
          <w:rFonts w:ascii="Times New Roman" w:hAnsi="Times New Roman" w:cs="Times New Roman"/>
          <w:b/>
          <w:sz w:val="24"/>
          <w:szCs w:val="24"/>
        </w:rPr>
        <w:t xml:space="preserve">    KESIMPULAN</w:t>
      </w:r>
    </w:p>
    <w:p>
      <w:pPr>
        <w:pStyle w:val="23"/>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Berdasarkan hasil pengujian dan pembahasan yang telah dilakukan, maka terdapat beberapa kesimpulan yang dapat diambil dari penilitian ini yaitu:</w:t>
      </w:r>
    </w:p>
    <w:p>
      <w:pPr>
        <w:pStyle w:val="23"/>
        <w:numPr>
          <w:ilvl w:val="0"/>
          <w:numId w:val="68"/>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Market Value To Book Equity Berpengaruh Dan Signifikan Terhadap Nilai Perusahaan Pada Sub Sektor Perbankan Yang Terdaftar Di Bursa Efek Indonesia </w:t>
      </w:r>
    </w:p>
    <w:p>
      <w:pPr>
        <w:pStyle w:val="23"/>
        <w:numPr>
          <w:ilvl w:val="0"/>
          <w:numId w:val="68"/>
        </w:numPr>
        <w:autoSpaceDE w:val="0"/>
        <w:autoSpaceDN w:val="0"/>
        <w:adjustRightInd w:val="0"/>
        <w:rPr>
          <w:rStyle w:val="25"/>
          <w:rFonts w:ascii="Times New Roman" w:hAnsi="Times New Roman" w:cs="Times New Roman"/>
          <w:sz w:val="24"/>
          <w:szCs w:val="24"/>
        </w:rPr>
      </w:pPr>
      <w:r>
        <w:rPr>
          <w:rStyle w:val="25"/>
          <w:rFonts w:ascii="Times New Roman" w:hAnsi="Times New Roman" w:cs="Times New Roman"/>
          <w:sz w:val="24"/>
          <w:szCs w:val="24"/>
        </w:rPr>
        <w:t>Capital Expenditure To Book Value Of Asset Tidak Berpengaruh Dan Signifikan Terhadap Nilai Perusahaan Pada Sub Sektor Perbankan Yang Terdaftar Di Bursa Efek Indonesia</w:t>
      </w:r>
    </w:p>
    <w:p>
      <w:pPr>
        <w:pStyle w:val="23"/>
        <w:numPr>
          <w:ilvl w:val="0"/>
          <w:numId w:val="68"/>
        </w:numPr>
        <w:autoSpaceDE w:val="0"/>
        <w:autoSpaceDN w:val="0"/>
        <w:adjustRightInd w:val="0"/>
        <w:rPr>
          <w:rStyle w:val="25"/>
          <w:rFonts w:ascii="Times New Roman" w:hAnsi="Times New Roman" w:cs="Times New Roman"/>
          <w:sz w:val="24"/>
          <w:szCs w:val="24"/>
        </w:rPr>
      </w:pPr>
      <w:r>
        <w:rPr>
          <w:rStyle w:val="25"/>
          <w:rFonts w:ascii="Times New Roman" w:hAnsi="Times New Roman" w:cs="Times New Roman"/>
          <w:sz w:val="24"/>
          <w:szCs w:val="24"/>
        </w:rPr>
        <w:t>Corrporate Social Responbility Berpengaruh dan Signifikan Terhadap Nilai Perusahaan Pada Sub Sektor Perbankan Yang Terdaftar Dibursa Efek Indonesia</w:t>
      </w:r>
    </w:p>
    <w:p>
      <w:pPr>
        <w:pStyle w:val="23"/>
        <w:numPr>
          <w:ilvl w:val="0"/>
          <w:numId w:val="68"/>
        </w:numPr>
        <w:autoSpaceDE w:val="0"/>
        <w:autoSpaceDN w:val="0"/>
        <w:adjustRightInd w:val="0"/>
        <w:rPr>
          <w:rStyle w:val="25"/>
          <w:rFonts w:ascii="Times New Roman" w:hAnsi="Times New Roman" w:cs="Times New Roman"/>
          <w:sz w:val="24"/>
          <w:szCs w:val="24"/>
        </w:rPr>
      </w:pPr>
      <w:r>
        <w:rPr>
          <w:rStyle w:val="25"/>
          <w:rFonts w:ascii="Times New Roman" w:hAnsi="Times New Roman" w:cs="Times New Roman"/>
          <w:sz w:val="24"/>
          <w:szCs w:val="24"/>
        </w:rPr>
        <w:t xml:space="preserve">Risiko Bisnis Tidak Berpengaruh dan Signifikan Terhadap Nilai Perusahaan Pada Sub Sektor Perbankan Yang Terdaftar Dibursa Efek Indonesia </w:t>
      </w:r>
    </w:p>
    <w:p>
      <w:pPr>
        <w:pStyle w:val="23"/>
        <w:numPr>
          <w:ilvl w:val="1"/>
          <w:numId w:val="55"/>
        </w:numPr>
        <w:autoSpaceDE w:val="0"/>
        <w:autoSpaceDN w:val="0"/>
        <w:adjustRightInd w:val="0"/>
        <w:ind w:left="720" w:hanging="720"/>
        <w:rPr>
          <w:rFonts w:ascii="Times New Roman" w:hAnsi="Times New Roman" w:cs="Times New Roman"/>
          <w:b/>
          <w:sz w:val="24"/>
          <w:szCs w:val="24"/>
        </w:rPr>
      </w:pPr>
      <w:r>
        <w:rPr>
          <w:rFonts w:ascii="Times New Roman" w:hAnsi="Times New Roman" w:cs="Times New Roman"/>
          <w:b/>
          <w:sz w:val="24"/>
          <w:szCs w:val="24"/>
        </w:rPr>
        <w:t>SARAN</w:t>
      </w:r>
    </w:p>
    <w:p>
      <w:pPr>
        <w:pStyle w:val="23"/>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 xml:space="preserve">Berdasarkan keterbatasan diatas, maka saran-saran yang diberikan penelitian </w:t>
      </w:r>
    </w:p>
    <w:p>
      <w:pPr>
        <w:pStyle w:val="23"/>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 xml:space="preserve">selanjutnya adalah : </w:t>
      </w:r>
    </w:p>
    <w:p>
      <w:pPr>
        <w:pStyle w:val="23"/>
        <w:numPr>
          <w:ilvl w:val="0"/>
          <w:numId w:val="69"/>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penelitian selanjutnya sebaiknya menggunakan ketiga proksi IOS, yaitu IOS berdasarkan harga, IOS berdasarkan investasi, dan IOS berdasarkan varian agar dapat membandingkan hasil dari ketiga proksi tersebut. Penelitian selajutnya juga diharapkan menggunakan pengukuran yang lain dari setiap proksi untuk mendapatkan hasil yang lebih baik.</w:t>
      </w:r>
    </w:p>
    <w:p>
      <w:pPr>
        <w:pStyle w:val="23"/>
        <w:numPr>
          <w:ilvl w:val="0"/>
          <w:numId w:val="69"/>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kepada pihak perusahaan meskipun hendaknya tetap memperhatikan pentingnya tanggung jawab sosial perusahaan dan sebagai pertimbangan dalam pembuatan kebijakan perusahaan untuk lebih meningkatkan kepeduliannya terhadap lingkungan sosial dan diharapkan dapat mengelolah risiko dengan baik secara efektif dengan meminimalisir penggunaan biaya yang terlalu tinggi. karena untuk perusahaan yang berskala besar seperti ini, penggunaan biaya yang terlalu tinggi akan memberikan dampak yang buruk untuk perusahaan sehingga akan berdampak pada kerugian perusahaan. </w:t>
      </w:r>
    </w:p>
    <w:p>
      <w:pPr>
        <w:autoSpaceDE w:val="0"/>
        <w:autoSpaceDN w:val="0"/>
        <w:adjustRightInd w:val="0"/>
        <w:ind w:left="360" w:firstLine="0"/>
        <w:rPr>
          <w:rFonts w:ascii="Times New Roman" w:hAnsi="Times New Roman" w:cs="Times New Roman"/>
          <w:sz w:val="24"/>
          <w:szCs w:val="24"/>
        </w:rPr>
      </w:pPr>
    </w:p>
    <w:p>
      <w:pPr>
        <w:tabs>
          <w:tab w:val="left" w:pos="720"/>
        </w:tabs>
        <w:autoSpaceDE w:val="0"/>
        <w:autoSpaceDN w:val="0"/>
        <w:adjustRightInd w:val="0"/>
        <w:ind w:firstLine="0"/>
        <w:rPr>
          <w:rFonts w:ascii="Times New Roman" w:hAnsi="Times New Roman" w:cs="Times New Roman"/>
          <w:sz w:val="24"/>
          <w:szCs w:val="24"/>
        </w:rPr>
      </w:pPr>
    </w:p>
    <w:p>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hAnsi="Times New Roman" w:cs="Times New Roman" w:eastAsiaTheme="minorHAnsi"/>
          <w:b w:val="0"/>
          <w:bCs w:val="0"/>
          <w:color w:val="auto"/>
          <w:sz w:val="24"/>
          <w:szCs w:val="24"/>
          <w:lang w:bidi="ar-SA"/>
        </w:rPr>
        <w:id w:val="1468243811"/>
        <w:docPartObj>
          <w:docPartGallery w:val="autotext"/>
        </w:docPartObj>
      </w:sdtPr>
      <w:sdtEndPr>
        <w:rPr>
          <w:rFonts w:ascii="Times New Roman" w:hAnsi="Times New Roman" w:cs="Times New Roman" w:eastAsiaTheme="minorHAnsi"/>
          <w:b w:val="0"/>
          <w:bCs w:val="0"/>
          <w:color w:val="auto"/>
          <w:sz w:val="24"/>
          <w:szCs w:val="24"/>
          <w:lang w:bidi="ar-SA"/>
        </w:rPr>
      </w:sdtEndPr>
      <w:sdtContent>
        <w:p>
          <w:pPr>
            <w:pStyle w:val="2"/>
            <w:ind w:left="720" w:hanging="720"/>
            <w:jc w:val="center"/>
            <w:rPr>
              <w:rFonts w:ascii="Times New Roman" w:hAnsi="Times New Roman" w:cs="Times New Roman"/>
              <w:sz w:val="24"/>
              <w:szCs w:val="24"/>
            </w:rPr>
          </w:pPr>
          <w:r>
            <w:rPr>
              <w:rFonts w:ascii="Times New Roman" w:hAnsi="Times New Roman" w:cs="Times New Roman"/>
              <w:color w:val="auto"/>
            </w:rPr>
            <w:t>DAFTAR PUSTAKA</w:t>
          </w:r>
        </w:p>
        <w:sdt>
          <w:sdtPr>
            <w:rPr>
              <w:rFonts w:ascii="Times New Roman" w:hAnsi="Times New Roman" w:cs="Times New Roman"/>
              <w:sz w:val="24"/>
              <w:szCs w:val="24"/>
            </w:rPr>
            <w:id w:val="1468243810"/>
          </w:sdtPr>
          <w:sdtEndPr>
            <w:rPr>
              <w:rFonts w:ascii="Times New Roman" w:hAnsi="Times New Roman" w:cs="Times New Roman"/>
              <w:sz w:val="24"/>
              <w:szCs w:val="24"/>
            </w:rPr>
          </w:sdtEndPr>
          <w:sdtContent>
            <w:p>
              <w:pPr>
                <w:pStyle w:val="32"/>
                <w:ind w:left="720" w:hanging="720"/>
                <w:rPr>
                  <w:rFonts w:ascii="Times New Roman" w:hAnsi="Times New Roman" w:cs="Times New Roman"/>
                  <w:sz w:val="24"/>
                  <w:szCs w:val="24"/>
                </w:rPr>
              </w:pPr>
            </w:p>
            <w:p>
              <w:pPr>
                <w:pStyle w:val="32"/>
                <w:ind w:left="720" w:hanging="7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Agitaningtyas, M. D. (2016). </w:t>
              </w:r>
              <w:r>
                <w:rPr>
                  <w:rFonts w:ascii="Times New Roman" w:hAnsi="Times New Roman" w:cs="Times New Roman"/>
                  <w:i/>
                  <w:iCs/>
                  <w:sz w:val="24"/>
                  <w:szCs w:val="24"/>
                </w:rPr>
                <w:t>Hubungan Corporate Social Responsibilitydancorporate Governance Dengan Nilai Perusahaan.</w:t>
              </w:r>
              <w:r>
                <w:rPr>
                  <w:rFonts w:ascii="Times New Roman" w:hAnsi="Times New Roman" w:cs="Times New Roman"/>
                  <w:sz w:val="24"/>
                  <w:szCs w:val="24"/>
                </w:rPr>
                <w:t xml:space="preserve"> Yogyakarta : Universitas Sanata Dharma.</w:t>
              </w:r>
            </w:p>
            <w:p>
              <w:pPr>
                <w:pStyle w:val="32"/>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Agustina, D. (2016). </w:t>
              </w:r>
              <w:r>
                <w:rPr>
                  <w:rFonts w:ascii="Times New Roman" w:hAnsi="Times New Roman" w:cs="Times New Roman"/>
                  <w:i/>
                  <w:iCs/>
                  <w:sz w:val="24"/>
                  <w:szCs w:val="24"/>
                </w:rPr>
                <w:t>Pengaruh Rasio Market To Book Value Of Equity, Capital Expenditure To Book Value Assets Dan Kepemilikan Manajerialterhadap Nilai Perusahaan Manufaktur Di Bursa Efek Indonesia Periode 2012-2014 .</w:t>
              </w:r>
              <w:r>
                <w:rPr>
                  <w:rFonts w:ascii="Times New Roman" w:hAnsi="Times New Roman" w:cs="Times New Roman"/>
                  <w:sz w:val="24"/>
                  <w:szCs w:val="24"/>
                </w:rPr>
                <w:t xml:space="preserve"> Surabaya: Sekolah Tinggi Ilmu Ekonomi Perbanas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Anggraeni, S. B., &amp; Dkk. (2018). Pengaruh Free Cash Flow, Risiko Bisnis Dan Investment Opportunity Set Terhadap Nilai Perusahaan Dengan Kebijakan Hutang Sebagai Variabel Intervening. </w:t>
              </w:r>
              <w:r>
                <w:rPr>
                  <w:rFonts w:ascii="Times New Roman" w:hAnsi="Times New Roman" w:cs="Times New Roman"/>
                  <w:i/>
                  <w:iCs/>
                  <w:sz w:val="24"/>
                  <w:szCs w:val="24"/>
                </w:rPr>
                <w:t>Journal Of Accounting</w:t>
              </w:r>
              <w:r>
                <w:rPr>
                  <w:rFonts w:ascii="Times New Roman" w:hAnsi="Times New Roman" w:cs="Times New Roman"/>
                  <w:sz w:val="24"/>
                  <w:szCs w:val="24"/>
                </w:rPr>
                <w:t xml:space="preserve"> , 7-18.</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Aslikhan, N. N. (2018). </w:t>
              </w:r>
              <w:r>
                <w:rPr>
                  <w:rFonts w:ascii="Times New Roman" w:hAnsi="Times New Roman" w:cs="Times New Roman"/>
                  <w:i/>
                  <w:iCs/>
                  <w:sz w:val="24"/>
                  <w:szCs w:val="24"/>
                </w:rPr>
                <w:t>Analisis Pengaruh Price Earning Ratio(Per), Dividendpayout Ratio (Dpr),Price To Book Value(Pbv)Ratiodan Economic Value Added(Eva) Terhadap Harga Saham.</w:t>
              </w:r>
              <w:r>
                <w:rPr>
                  <w:rFonts w:ascii="Times New Roman" w:hAnsi="Times New Roman" w:cs="Times New Roman"/>
                  <w:sz w:val="24"/>
                  <w:szCs w:val="24"/>
                </w:rPr>
                <w:t xml:space="preserve"> Salatiga: Fakultas Ekonomi Dan Bisnis Islam.</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Audina, D. (2020). </w:t>
              </w:r>
              <w:r>
                <w:rPr>
                  <w:rFonts w:ascii="Times New Roman" w:hAnsi="Times New Roman" w:cs="Times New Roman"/>
                  <w:i/>
                  <w:iCs/>
                  <w:sz w:val="24"/>
                  <w:szCs w:val="24"/>
                </w:rPr>
                <w:t>Pengaruh Corporate Social Responsibility, Struktur Modal Dan Profitabilitas Terhadap Nilai Perusahaan.</w:t>
              </w:r>
              <w:r>
                <w:rPr>
                  <w:rFonts w:ascii="Times New Roman" w:hAnsi="Times New Roman" w:cs="Times New Roman"/>
                  <w:sz w:val="24"/>
                  <w:szCs w:val="24"/>
                </w:rPr>
                <w:t xml:space="preserve"> Malang: Universitas Muhammadyah Malang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Bandanuji, A., &amp; Khoiruddin, M. (2020). The Effect Of Business Risk And Firm Size On Firm Value With Debt Policy As Intervening Variable. </w:t>
              </w:r>
              <w:r>
                <w:rPr>
                  <w:rFonts w:ascii="Times New Roman" w:hAnsi="Times New Roman" w:cs="Times New Roman"/>
                  <w:i/>
                  <w:iCs/>
                  <w:sz w:val="24"/>
                  <w:szCs w:val="24"/>
                </w:rPr>
                <w:t>Management Analysis Journal</w:t>
              </w:r>
              <w:r>
                <w:rPr>
                  <w:rFonts w:ascii="Times New Roman" w:hAnsi="Times New Roman" w:cs="Times New Roman"/>
                  <w:sz w:val="24"/>
                  <w:szCs w:val="24"/>
                </w:rPr>
                <w:t xml:space="preserve"> , 2252-6552.</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Danis, R. D. (2016). </w:t>
              </w:r>
              <w:r>
                <w:rPr>
                  <w:rFonts w:ascii="Times New Roman" w:hAnsi="Times New Roman" w:cs="Times New Roman"/>
                  <w:i/>
                  <w:iCs/>
                  <w:sz w:val="24"/>
                  <w:szCs w:val="24"/>
                </w:rPr>
                <w:t>Hubungan Corporate Social Responsibilitydancorporate Governance Dengan Nilai Perusahaan.</w:t>
              </w:r>
              <w:r>
                <w:rPr>
                  <w:rFonts w:ascii="Times New Roman" w:hAnsi="Times New Roman" w:cs="Times New Roman"/>
                  <w:sz w:val="24"/>
                  <w:szCs w:val="24"/>
                </w:rPr>
                <w:t xml:space="preserve"> Yogyakarta: Universitas Sanata Dharma.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Darman, &amp; Mooduto, W. I. (2018). </w:t>
              </w:r>
              <w:r>
                <w:rPr>
                  <w:rFonts w:ascii="Times New Roman" w:hAnsi="Times New Roman" w:cs="Times New Roman"/>
                  <w:i/>
                  <w:iCs/>
                  <w:sz w:val="24"/>
                  <w:szCs w:val="24"/>
                </w:rPr>
                <w:t>Pendekatan Praktis Menggunakan Spss Dan Smartpls.</w:t>
              </w:r>
              <w:r>
                <w:rPr>
                  <w:rFonts w:ascii="Times New Roman" w:hAnsi="Times New Roman" w:cs="Times New Roman"/>
                  <w:sz w:val="24"/>
                  <w:szCs w:val="24"/>
                </w:rPr>
                <w:t xml:space="preserve"> Makasar: Nas Media Creative.</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Dewi, R. M. (2019). </w:t>
              </w:r>
              <w:r>
                <w:rPr>
                  <w:rFonts w:ascii="Times New Roman" w:hAnsi="Times New Roman" w:cs="Times New Roman"/>
                  <w:i/>
                  <w:iCs/>
                  <w:sz w:val="24"/>
                  <w:szCs w:val="24"/>
                </w:rPr>
                <w:t>Pengaruh Kebijakan Utang, Kebijakan Dividen Dan Investment Opportunity Set (Ios) Terhadap Nilai Perusahaan .</w:t>
              </w:r>
              <w:r>
                <w:rPr>
                  <w:rFonts w:ascii="Times New Roman" w:hAnsi="Times New Roman" w:cs="Times New Roman"/>
                  <w:sz w:val="24"/>
                  <w:szCs w:val="24"/>
                </w:rPr>
                <w:t xml:space="preserve"> Malang : Universitas Muhammadiyah Malang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Fahlevi, R. (2016). </w:t>
              </w:r>
              <w:r>
                <w:rPr>
                  <w:rFonts w:ascii="Times New Roman" w:hAnsi="Times New Roman" w:cs="Times New Roman"/>
                  <w:i/>
                  <w:iCs/>
                  <w:sz w:val="24"/>
                  <w:szCs w:val="24"/>
                </w:rPr>
                <w:t>Pengaruh Investment Opportunity Set, Voluntary Disclosure, Leverage, Dan Likuiditas Terhadap Kualitas Laba.</w:t>
              </w:r>
              <w:r>
                <w:rPr>
                  <w:rFonts w:ascii="Times New Roman" w:hAnsi="Times New Roman" w:cs="Times New Roman"/>
                  <w:sz w:val="24"/>
                  <w:szCs w:val="24"/>
                </w:rPr>
                <w:t xml:space="preserve"> Jakarta: Universitas Islam Negeri Syarif Hidayatullah.</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Fitriani, A. I. (2019). </w:t>
              </w:r>
              <w:r>
                <w:rPr>
                  <w:rFonts w:ascii="Times New Roman" w:hAnsi="Times New Roman" w:cs="Times New Roman"/>
                  <w:i/>
                  <w:iCs/>
                  <w:sz w:val="24"/>
                  <w:szCs w:val="24"/>
                </w:rPr>
                <w:t>Pengaruh Pertumbuhan Perusahaan, Risiko Bisnis, Suku Bunga Dan Keputusan Investasi Terhadap Nilai Perusahaan Dengankebijakan Hutang Sebagai Variabel Moderating.</w:t>
              </w:r>
              <w:r>
                <w:rPr>
                  <w:rFonts w:ascii="Times New Roman" w:hAnsi="Times New Roman" w:cs="Times New Roman"/>
                  <w:sz w:val="24"/>
                  <w:szCs w:val="24"/>
                </w:rPr>
                <w:t xml:space="preserve"> Bandar Lampung: Fakultas Ekonomi Dan Bisnis.</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Ginting, F. G., &amp; Dkk. (2020). Pengaruh Risiko Bisnis, Risiko Finansial Dan Risiko Pasar Terhadap Nilai Perusahaan Pada Bank Bumn Periode Tahun 2011-2018. </w:t>
              </w:r>
              <w:r>
                <w:rPr>
                  <w:rFonts w:ascii="Times New Roman" w:hAnsi="Times New Roman" w:cs="Times New Roman"/>
                  <w:i/>
                  <w:iCs/>
                  <w:sz w:val="24"/>
                  <w:szCs w:val="24"/>
                </w:rPr>
                <w:t>Jurnal Emba</w:t>
              </w:r>
              <w:r>
                <w:rPr>
                  <w:rFonts w:ascii="Times New Roman" w:hAnsi="Times New Roman" w:cs="Times New Roman"/>
                  <w:sz w:val="24"/>
                  <w:szCs w:val="24"/>
                </w:rPr>
                <w:t xml:space="preserve"> , 252-261.</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Holilah, L. S. (2019). </w:t>
              </w:r>
              <w:r>
                <w:rPr>
                  <w:rFonts w:ascii="Times New Roman" w:hAnsi="Times New Roman" w:cs="Times New Roman"/>
                  <w:i/>
                  <w:iCs/>
                  <w:sz w:val="24"/>
                  <w:szCs w:val="24"/>
                </w:rPr>
                <w:t>Analisis Harga Saham Yang Dipengaruhi Oleh Laba Bersih Dan Tingkat Suku Bunga.</w:t>
              </w:r>
              <w:r>
                <w:rPr>
                  <w:rFonts w:ascii="Times New Roman" w:hAnsi="Times New Roman" w:cs="Times New Roman"/>
                  <w:sz w:val="24"/>
                  <w:szCs w:val="24"/>
                </w:rPr>
                <w:t xml:space="preserve"> Jakarta: Universitas Komputer Indonesia.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Intania, S. P. (2019). </w:t>
              </w:r>
              <w:r>
                <w:rPr>
                  <w:rFonts w:ascii="Times New Roman" w:hAnsi="Times New Roman" w:cs="Times New Roman"/>
                  <w:i/>
                  <w:iCs/>
                  <w:sz w:val="24"/>
                  <w:szCs w:val="24"/>
                </w:rPr>
                <w:t>Pengaruh Keputusan Investasi, Keputusan Pendaanaan, Kebijakan Dividen Dan Risiko Bisnis Terhadap Nilai Perusahaan Pada Perusahaan Pertambangan Yang Terdaftar Di Bursa Efek Indonesia Periode 2014-2017.</w:t>
              </w:r>
              <w:r>
                <w:rPr>
                  <w:rFonts w:ascii="Times New Roman" w:hAnsi="Times New Roman" w:cs="Times New Roman"/>
                  <w:sz w:val="24"/>
                  <w:szCs w:val="24"/>
                </w:rPr>
                <w:t xml:space="preserve"> Lampung: Universitas Lampung.</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Iskandar. (2016). Pengaruh Penerapan Corporate Social Responsibility Terhadap Profitabilitas Perusahaan . </w:t>
              </w:r>
              <w:r>
                <w:rPr>
                  <w:rFonts w:ascii="Times New Roman" w:hAnsi="Times New Roman" w:cs="Times New Roman"/>
                  <w:i/>
                  <w:iCs/>
                  <w:sz w:val="24"/>
                  <w:szCs w:val="24"/>
                </w:rPr>
                <w:t>Forum Ekonomi;</w:t>
              </w:r>
              <w:r>
                <w:rPr>
                  <w:rFonts w:ascii="Times New Roman" w:hAnsi="Times New Roman" w:cs="Times New Roman"/>
                  <w:sz w:val="24"/>
                  <w:szCs w:val="24"/>
                </w:rPr>
                <w:t xml:space="preserve"> , 76-84.</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Kartasukmana, A. (2015). </w:t>
              </w:r>
              <w:r>
                <w:rPr>
                  <w:rFonts w:ascii="Times New Roman" w:hAnsi="Times New Roman" w:cs="Times New Roman"/>
                  <w:i/>
                  <w:iCs/>
                  <w:sz w:val="24"/>
                  <w:szCs w:val="24"/>
                </w:rPr>
                <w:t>Pengaruh Leverage, Investment Opportunity Set, Kepemilikan Manajerial Dan Kepemilikan Institusional Terhadap Nilai Perusahaan Dengan Kebijakan Dividen Sebagai Variabel Intervening .</w:t>
              </w:r>
              <w:r>
                <w:rPr>
                  <w:rFonts w:ascii="Times New Roman" w:hAnsi="Times New Roman" w:cs="Times New Roman"/>
                  <w:sz w:val="24"/>
                  <w:szCs w:val="24"/>
                </w:rPr>
                <w:t xml:space="preserve"> Semarang: Universitas Negeri Semarang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Khoeriyah, A. (2020). Pengaruh Size, Leverage, Sales Growth Dan Ios Terhadap Nilai Perusahaan . </w:t>
              </w:r>
              <w:r>
                <w:rPr>
                  <w:rFonts w:ascii="Times New Roman" w:hAnsi="Times New Roman" w:cs="Times New Roman"/>
                  <w:i/>
                  <w:iCs/>
                  <w:sz w:val="24"/>
                  <w:szCs w:val="24"/>
                </w:rPr>
                <w:t xml:space="preserve">Komunikasi Ilmiah Akuntansi Dan Perpajakan </w:t>
              </w:r>
              <w:r>
                <w:rPr>
                  <w:rFonts w:ascii="Times New Roman" w:hAnsi="Times New Roman" w:cs="Times New Roman"/>
                  <w:sz w:val="24"/>
                  <w:szCs w:val="24"/>
                </w:rPr>
                <w:t>, 96-111.</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Kholida, N., &amp; Susilo, D. E. (2019). Pengaruh Corporate Social Responsibility Terhadap Nilai Perusahaan Dengan Profitabilitas Sebagai Variabel Moderasi. </w:t>
              </w:r>
              <w:r>
                <w:rPr>
                  <w:rFonts w:ascii="Times New Roman" w:hAnsi="Times New Roman" w:cs="Times New Roman"/>
                  <w:i/>
                  <w:iCs/>
                  <w:sz w:val="24"/>
                  <w:szCs w:val="24"/>
                </w:rPr>
                <w:t>Seminar Nasional Ekonomi &amp; Bisnis Dewanatara</w:t>
              </w:r>
              <w:r>
                <w:rPr>
                  <w:rFonts w:ascii="Times New Roman" w:hAnsi="Times New Roman" w:cs="Times New Roman"/>
                  <w:sz w:val="24"/>
                  <w:szCs w:val="24"/>
                </w:rPr>
                <w:t xml:space="preserve"> , 79-88.</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Kolibu, D. (2020). Nalisis Investment Opportunity Set, Corporate Governance,Risiko Bisnis, Dan Profitabilitas Terhadap Nilai Perusahaan Consumer Goodsdengan High Leveragedi Bursa Efek Indonesia. </w:t>
              </w:r>
              <w:r>
                <w:rPr>
                  <w:rFonts w:ascii="Times New Roman" w:hAnsi="Times New Roman" w:cs="Times New Roman"/>
                  <w:i/>
                  <w:iCs/>
                  <w:sz w:val="24"/>
                  <w:szCs w:val="24"/>
                </w:rPr>
                <w:t>Jurnal Emba</w:t>
              </w:r>
              <w:r>
                <w:rPr>
                  <w:rFonts w:ascii="Times New Roman" w:hAnsi="Times New Roman" w:cs="Times New Roman"/>
                  <w:sz w:val="24"/>
                  <w:szCs w:val="24"/>
                </w:rPr>
                <w:t xml:space="preserve"> , 202-211.</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Miranti, D. A. (2017). Pengaruh Profitabilitas, Ukuran Perusahaan, Risiko Bisnis, Struktur Aset, Dan Tingkat Pertumbuhan Terhadap Struktur Modal. </w:t>
              </w:r>
              <w:r>
                <w:rPr>
                  <w:rFonts w:ascii="Times New Roman" w:hAnsi="Times New Roman" w:cs="Times New Roman"/>
                  <w:i/>
                  <w:iCs/>
                  <w:sz w:val="24"/>
                  <w:szCs w:val="24"/>
                </w:rPr>
                <w:t>Jurnal Ilmiah Mahasiswa Feb</w:t>
              </w:r>
              <w:r>
                <w:rPr>
                  <w:rFonts w:ascii="Times New Roman" w:hAnsi="Times New Roman" w:cs="Times New Roman"/>
                  <w:sz w:val="24"/>
                  <w:szCs w:val="24"/>
                </w:rPr>
                <w:t xml:space="preserve"> , 1-11.</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Murnita, P. E., &amp; Putra, I. M. (2018). Pengaruh Corporate Social Responsibilityterhadap Nilaiperusahaan Dengan Profitabilitas Dan Leverage Sebagai Variabel Pemoderasi . </w:t>
              </w:r>
              <w:r>
                <w:rPr>
                  <w:rFonts w:ascii="Times New Roman" w:hAnsi="Times New Roman" w:cs="Times New Roman"/>
                  <w:i/>
                  <w:iCs/>
                  <w:sz w:val="24"/>
                  <w:szCs w:val="24"/>
                </w:rPr>
                <w:t xml:space="preserve">E-Jurnal Akuntansi Universitas Udayana </w:t>
              </w:r>
              <w:r>
                <w:rPr>
                  <w:rFonts w:ascii="Times New Roman" w:hAnsi="Times New Roman" w:cs="Times New Roman"/>
                  <w:sz w:val="24"/>
                  <w:szCs w:val="24"/>
                </w:rPr>
                <w:t>, 1470-1494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Mustika, T. (2016). </w:t>
              </w:r>
              <w:r>
                <w:rPr>
                  <w:rFonts w:ascii="Times New Roman" w:hAnsi="Times New Roman" w:cs="Times New Roman"/>
                  <w:i/>
                  <w:iCs/>
                  <w:sz w:val="24"/>
                  <w:szCs w:val="24"/>
                </w:rPr>
                <w:t>Analisis Pengaruh Corporate Social Responbility Terhadap Risiko Perusahaan .</w:t>
              </w:r>
              <w:r>
                <w:rPr>
                  <w:rFonts w:ascii="Times New Roman" w:hAnsi="Times New Roman" w:cs="Times New Roman"/>
                  <w:sz w:val="24"/>
                  <w:szCs w:val="24"/>
                </w:rPr>
                <w:t xml:space="preserve"> Semarang: Universitas Katolik Soegijapranata.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Oktafiani, S. P. (2019). </w:t>
              </w:r>
              <w:r>
                <w:rPr>
                  <w:rFonts w:ascii="Times New Roman" w:hAnsi="Times New Roman" w:cs="Times New Roman"/>
                  <w:i/>
                  <w:iCs/>
                  <w:sz w:val="24"/>
                  <w:szCs w:val="24"/>
                </w:rPr>
                <w:t>Pengaruh Risiko Bisnis, Non-Debt Tax Shielddan Tangibility Assetterhadap Struktur Modal.</w:t>
              </w:r>
              <w:r>
                <w:rPr>
                  <w:rFonts w:ascii="Times New Roman" w:hAnsi="Times New Roman" w:cs="Times New Roman"/>
                  <w:sz w:val="24"/>
                  <w:szCs w:val="24"/>
                </w:rPr>
                <w:t xml:space="preserve"> Bandung: Universitas Pasundan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Pratama, L. S. (2020). </w:t>
              </w:r>
              <w:r>
                <w:rPr>
                  <w:rFonts w:ascii="Times New Roman" w:hAnsi="Times New Roman" w:cs="Times New Roman"/>
                  <w:i/>
                  <w:iCs/>
                  <w:sz w:val="24"/>
                  <w:szCs w:val="24"/>
                </w:rPr>
                <w:t>Capital Expenditure, Struktur Modal, Leverage, Good Corporate Governance, Corporate Social Responsibility Dan Total Asset Turnoverdampaknya Terhadap Nilai Perusahaan Dengan Kinerja Keuangan Sebagai Variabel Intervening Pada Perusahaan Manufaktur Yang Terd.</w:t>
              </w:r>
              <w:r>
                <w:rPr>
                  <w:rFonts w:ascii="Times New Roman" w:hAnsi="Times New Roman" w:cs="Times New Roman"/>
                  <w:sz w:val="24"/>
                  <w:szCs w:val="24"/>
                </w:rPr>
                <w:t xml:space="preserve"> Tegal: Fakultas Ekonomi Dan Bisnis.</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Pratiwi, L. (2018). </w:t>
              </w:r>
              <w:r>
                <w:rPr>
                  <w:rFonts w:ascii="Times New Roman" w:hAnsi="Times New Roman" w:cs="Times New Roman"/>
                  <w:i/>
                  <w:iCs/>
                  <w:sz w:val="24"/>
                  <w:szCs w:val="24"/>
                </w:rPr>
                <w:t>Pengaruh Kesempatan Investasi, Kinerja Keuangan, Dan Kebijakan Utang Terhadap Nilai Perusahaan.</w:t>
              </w:r>
              <w:r>
                <w:rPr>
                  <w:rFonts w:ascii="Times New Roman" w:hAnsi="Times New Roman" w:cs="Times New Roman"/>
                  <w:sz w:val="24"/>
                  <w:szCs w:val="24"/>
                </w:rPr>
                <w:t xml:space="preserve"> Bandung: Fakultas Ekonomi Universitas Widyatama.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Purnaningsih, I. A. (2019). </w:t>
              </w:r>
              <w:r>
                <w:rPr>
                  <w:rFonts w:ascii="Times New Roman" w:hAnsi="Times New Roman" w:cs="Times New Roman"/>
                  <w:i/>
                  <w:iCs/>
                  <w:sz w:val="24"/>
                  <w:szCs w:val="24"/>
                </w:rPr>
                <w:t>Nilai Perusahaan Perbankan Yang Terdaftar Di Bursa Efek Indonesia Periode 2014-2017.</w:t>
              </w:r>
              <w:r>
                <w:rPr>
                  <w:rFonts w:ascii="Times New Roman" w:hAnsi="Times New Roman" w:cs="Times New Roman"/>
                  <w:sz w:val="24"/>
                  <w:szCs w:val="24"/>
                </w:rPr>
                <w:t xml:space="preserve"> Surakarta: Institut Agama Islam Negeri Surakarta.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Putri, R. A., &amp; Setiawan, M. A. (2019). Pengaruh Investment Opportunity Set (Ios), Kebijakan Dividen, Dan Opportunistic Behavior Terhadap Nilai Perusahaa. </w:t>
              </w:r>
              <w:r>
                <w:rPr>
                  <w:rFonts w:ascii="Times New Roman" w:hAnsi="Times New Roman" w:cs="Times New Roman"/>
                  <w:i/>
                  <w:iCs/>
                  <w:sz w:val="24"/>
                  <w:szCs w:val="24"/>
                </w:rPr>
                <w:t xml:space="preserve">Jurnal Eksplorasi Akuntansi </w:t>
              </w:r>
              <w:r>
                <w:rPr>
                  <w:rFonts w:ascii="Times New Roman" w:hAnsi="Times New Roman" w:cs="Times New Roman"/>
                  <w:sz w:val="24"/>
                  <w:szCs w:val="24"/>
                </w:rPr>
                <w:t>, 1392-1410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Putri, R. A., &amp; Setiawan, M. A. (2019). Pengaruh Investment Opportunity Set (Ios), Kebijakan Dividen, Dan Opportunistic Behavior Terhadap Nilai Perusahaan . </w:t>
              </w:r>
              <w:r>
                <w:rPr>
                  <w:rFonts w:ascii="Times New Roman" w:hAnsi="Times New Roman" w:cs="Times New Roman"/>
                  <w:i/>
                  <w:iCs/>
                  <w:sz w:val="24"/>
                  <w:szCs w:val="24"/>
                </w:rPr>
                <w:t>Jurnal Eksplorasi Akuntansi</w:t>
              </w:r>
              <w:r>
                <w:rPr>
                  <w:rFonts w:ascii="Times New Roman" w:hAnsi="Times New Roman" w:cs="Times New Roman"/>
                  <w:sz w:val="24"/>
                  <w:szCs w:val="24"/>
                </w:rPr>
                <w:t xml:space="preserve"> , 1392-1410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Rachmawati, R. P. (2019). </w:t>
              </w:r>
              <w:r>
                <w:rPr>
                  <w:rFonts w:ascii="Times New Roman" w:hAnsi="Times New Roman" w:cs="Times New Roman"/>
                  <w:i/>
                  <w:iCs/>
                  <w:sz w:val="24"/>
                  <w:szCs w:val="24"/>
                </w:rPr>
                <w:t>Pengaruh Profitabilitas (Eps), Ukuran Perusahaan (Size) Dan Leverage (Dar) Terhadap Nilai Perusahaan (Tobin’s Q) Pada Perusahaanasuransi Yang Terdaftar Di Bursa Efek Indonesia Periode 2013-2017.</w:t>
              </w:r>
              <w:r>
                <w:rPr>
                  <w:rFonts w:ascii="Times New Roman" w:hAnsi="Times New Roman" w:cs="Times New Roman"/>
                  <w:sz w:val="24"/>
                  <w:szCs w:val="24"/>
                </w:rPr>
                <w:t xml:space="preserve"> Bandung: Universitas Komputer Indonesia.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Ragilsaputra, A. H. (2019). Pengaruh Investment Opportunity Setdan Profitabilitas Terhadap Nilai Perusahaan Dimediasi Oleh Harga Saham Sektor Perkebunan. </w:t>
              </w:r>
              <w:r>
                <w:rPr>
                  <w:rFonts w:ascii="Times New Roman" w:hAnsi="Times New Roman" w:cs="Times New Roman"/>
                  <w:i/>
                  <w:iCs/>
                  <w:sz w:val="24"/>
                  <w:szCs w:val="24"/>
                </w:rPr>
                <w:t>Jurnal Akuntansi, Auditing Dan Keuangan</w:t>
              </w:r>
              <w:r>
                <w:rPr>
                  <w:rFonts w:ascii="Times New Roman" w:hAnsi="Times New Roman" w:cs="Times New Roman"/>
                  <w:sz w:val="24"/>
                  <w:szCs w:val="24"/>
                </w:rPr>
                <w:t xml:space="preserve"> , 93--118.</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Rahmayani, A. P. (2018). </w:t>
              </w:r>
              <w:r>
                <w:rPr>
                  <w:rFonts w:ascii="Times New Roman" w:hAnsi="Times New Roman" w:cs="Times New Roman"/>
                  <w:i/>
                  <w:iCs/>
                  <w:sz w:val="24"/>
                  <w:szCs w:val="24"/>
                </w:rPr>
                <w:t>Pengaruh Investment Opportunity Set, Keputusan Pendanaan, Dan Kebijakan Deviden Terhadap Nilai Perusahaan.</w:t>
              </w:r>
              <w:r>
                <w:rPr>
                  <w:rFonts w:ascii="Times New Roman" w:hAnsi="Times New Roman" w:cs="Times New Roman"/>
                  <w:sz w:val="24"/>
                  <w:szCs w:val="24"/>
                </w:rPr>
                <w:t xml:space="preserve"> Yogyakarta: Universitas Islam Indonesia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Ramona, S. (2017). </w:t>
              </w:r>
              <w:r>
                <w:rPr>
                  <w:rFonts w:ascii="Times New Roman" w:hAnsi="Times New Roman" w:cs="Times New Roman"/>
                  <w:i/>
                  <w:iCs/>
                  <w:sz w:val="24"/>
                  <w:szCs w:val="24"/>
                </w:rPr>
                <w:t>Pengaruh Corporate Social Responsibility Terhadap Nilai Perusahaan Dengan Profitabilitas Sebagai Variabel Moderating .</w:t>
              </w:r>
              <w:r>
                <w:rPr>
                  <w:rFonts w:ascii="Times New Roman" w:hAnsi="Times New Roman" w:cs="Times New Roman"/>
                  <w:sz w:val="24"/>
                  <w:szCs w:val="24"/>
                </w:rPr>
                <w:t xml:space="preserve"> Rokan Hul: Universitas Pasir Pengaraian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Ramona, S. (2017). </w:t>
              </w:r>
              <w:r>
                <w:rPr>
                  <w:rFonts w:ascii="Times New Roman" w:hAnsi="Times New Roman" w:cs="Times New Roman"/>
                  <w:i/>
                  <w:iCs/>
                  <w:sz w:val="24"/>
                  <w:szCs w:val="24"/>
                </w:rPr>
                <w:t>Pengaruh Corporate Social Responsibilityterhadap Nilai Perusahaan Dengan Profitabilitas Sebagai Variabel Moderating .</w:t>
              </w:r>
              <w:r>
                <w:rPr>
                  <w:rFonts w:ascii="Times New Roman" w:hAnsi="Times New Roman" w:cs="Times New Roman"/>
                  <w:sz w:val="24"/>
                  <w:szCs w:val="24"/>
                </w:rPr>
                <w:t xml:space="preserve"> Rokan Hulu: Program Studi Akuntansi Fakultas Ekonomi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Retno Dan Danies, D. M. (2016). </w:t>
              </w:r>
              <w:r>
                <w:rPr>
                  <w:rFonts w:ascii="Times New Roman" w:hAnsi="Times New Roman" w:cs="Times New Roman"/>
                  <w:i/>
                  <w:iCs/>
                  <w:sz w:val="24"/>
                  <w:szCs w:val="24"/>
                </w:rPr>
                <w:t>Hubungan Corporate Social Responsibilitydancorporate Governance Dengan Nilai Perusahaan.</w:t>
              </w:r>
              <w:r>
                <w:rPr>
                  <w:rFonts w:ascii="Times New Roman" w:hAnsi="Times New Roman" w:cs="Times New Roman"/>
                  <w:sz w:val="24"/>
                  <w:szCs w:val="24"/>
                </w:rPr>
                <w:t xml:space="preserve"> Yogyakarta: Universitas Sanata Dharma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Rinaldi, R. F. (2019). </w:t>
              </w:r>
              <w:r>
                <w:rPr>
                  <w:rFonts w:ascii="Times New Roman" w:hAnsi="Times New Roman" w:cs="Times New Roman"/>
                  <w:i/>
                  <w:iCs/>
                  <w:sz w:val="24"/>
                  <w:szCs w:val="24"/>
                </w:rPr>
                <w:t>Pengaruhkepemilikan Institusional Daninvestmentopportunity Setterhadapnilai Perusahaan.</w:t>
              </w:r>
              <w:r>
                <w:rPr>
                  <w:rFonts w:ascii="Times New Roman" w:hAnsi="Times New Roman" w:cs="Times New Roman"/>
                  <w:sz w:val="24"/>
                  <w:szCs w:val="24"/>
                </w:rPr>
                <w:t xml:space="preserve"> Bangka Belitung: Universitas Bangka Belitung.</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Rini, K. D., &amp; Mimba, N. P. (2019). Pengaruh Pengungkapan Corporate Social Responsibility, Investment Opportunity Set Dan Struktur Modal Pada Nilai Perusahaan . </w:t>
              </w:r>
              <w:r>
                <w:rPr>
                  <w:rFonts w:ascii="Times New Roman" w:hAnsi="Times New Roman" w:cs="Times New Roman"/>
                  <w:i/>
                  <w:iCs/>
                  <w:sz w:val="24"/>
                  <w:szCs w:val="24"/>
                </w:rPr>
                <w:t xml:space="preserve">E-Jurnal Akuntansi </w:t>
              </w:r>
              <w:r>
                <w:rPr>
                  <w:rFonts w:ascii="Times New Roman" w:hAnsi="Times New Roman" w:cs="Times New Roman"/>
                  <w:sz w:val="24"/>
                  <w:szCs w:val="24"/>
                </w:rPr>
                <w:t>, 2019-2034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Safitri, N. W. (2019). </w:t>
              </w:r>
              <w:r>
                <w:rPr>
                  <w:rFonts w:ascii="Times New Roman" w:hAnsi="Times New Roman" w:cs="Times New Roman"/>
                  <w:i/>
                  <w:iCs/>
                  <w:sz w:val="24"/>
                  <w:szCs w:val="24"/>
                </w:rPr>
                <w:t>Pengaruh Pengungkapan Corporate Social Responsibilty, Efektivitas Dewan Komisaris Dan Kepemilikan Institusional Terhadap Risiko Bisnis.</w:t>
              </w:r>
              <w:r>
                <w:rPr>
                  <w:rFonts w:ascii="Times New Roman" w:hAnsi="Times New Roman" w:cs="Times New Roman"/>
                  <w:sz w:val="24"/>
                  <w:szCs w:val="24"/>
                </w:rPr>
                <w:t xml:space="preserve"> Jakarta: Universitas Trisakti.</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Saputri, M. R. (2017). </w:t>
              </w:r>
              <w:r>
                <w:rPr>
                  <w:rFonts w:ascii="Times New Roman" w:hAnsi="Times New Roman" w:cs="Times New Roman"/>
                  <w:i/>
                  <w:iCs/>
                  <w:sz w:val="24"/>
                  <w:szCs w:val="24"/>
                </w:rPr>
                <w:t>Pengaruh Struktur Modal, Profitabilitas Terhadap Nilai Perusahaan Dengan Investment Opportunity Set Sebagai Variabel Intervening.</w:t>
              </w:r>
              <w:r>
                <w:rPr>
                  <w:rFonts w:ascii="Times New Roman" w:hAnsi="Times New Roman" w:cs="Times New Roman"/>
                  <w:sz w:val="24"/>
                  <w:szCs w:val="24"/>
                </w:rPr>
                <w:t xml:space="preserve"> Yogyakarta: Universitas Muhammadiyah Yogyakarta.</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Saputri, R. E. (2019). </w:t>
              </w:r>
              <w:r>
                <w:rPr>
                  <w:rFonts w:ascii="Times New Roman" w:hAnsi="Times New Roman" w:cs="Times New Roman"/>
                  <w:i/>
                  <w:iCs/>
                  <w:sz w:val="24"/>
                  <w:szCs w:val="24"/>
                </w:rPr>
                <w:t>Pengaruh Keputusan Investasiterhadap Nilai Perusahaan Dengan Risiko Bisnissebagai Variabel Intervening Pada Perusahaan Manufaktur Di Bursa.</w:t>
              </w:r>
              <w:r>
                <w:rPr>
                  <w:rFonts w:ascii="Times New Roman" w:hAnsi="Times New Roman" w:cs="Times New Roman"/>
                  <w:sz w:val="24"/>
                  <w:szCs w:val="24"/>
                </w:rPr>
                <w:t xml:space="preserve"> Palembang: Fakultas Ekonomi Dan Bisnis Islam.</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Saputri, T. O. (2019). </w:t>
              </w:r>
              <w:r>
                <w:rPr>
                  <w:rFonts w:ascii="Times New Roman" w:hAnsi="Times New Roman" w:cs="Times New Roman"/>
                  <w:i/>
                  <w:iCs/>
                  <w:sz w:val="24"/>
                  <w:szCs w:val="24"/>
                </w:rPr>
                <w:t>Pengaruh Islamic Corporate Social Responsibility, Investment Opportunity Set, Dan Profitabilitasterhadapnilaiperusahaan.</w:t>
              </w:r>
              <w:r>
                <w:rPr>
                  <w:rFonts w:ascii="Times New Roman" w:hAnsi="Times New Roman" w:cs="Times New Roman"/>
                  <w:sz w:val="24"/>
                  <w:szCs w:val="24"/>
                </w:rPr>
                <w:t xml:space="preserve"> Bandung: Universitas Pasundan.</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Saraswathi, D. A., &amp; Dkk. (2016). Pengaruh Risiko Bisnis, Pertumbuhan Perusahaan Dan Struktur Modal Terhadap Profitabilitas Serta Nilai Perusahaanmanufaktur. </w:t>
              </w:r>
              <w:r>
                <w:rPr>
                  <w:rFonts w:ascii="Times New Roman" w:hAnsi="Times New Roman" w:cs="Times New Roman"/>
                  <w:i/>
                  <w:iCs/>
                  <w:sz w:val="24"/>
                  <w:szCs w:val="24"/>
                </w:rPr>
                <w:t>E-Jurnal Ekonomi Dan Bisnis Universitas Udayana</w:t>
              </w:r>
              <w:r>
                <w:rPr>
                  <w:rFonts w:ascii="Times New Roman" w:hAnsi="Times New Roman" w:cs="Times New Roman"/>
                  <w:sz w:val="24"/>
                  <w:szCs w:val="24"/>
                </w:rPr>
                <w:t xml:space="preserve"> , 1729-1756.</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Saraswathi, I. A., &amp; Dkk. (2016). Pengaruh Risiko Bisnis, Pertumbuhan Perusahaan Dan Struktur Modal Terhadap Profitabilitas Serta Nilai Perusahaan Manufaktur. </w:t>
              </w:r>
              <w:r>
                <w:rPr>
                  <w:rFonts w:ascii="Times New Roman" w:hAnsi="Times New Roman" w:cs="Times New Roman"/>
                  <w:i/>
                  <w:iCs/>
                  <w:sz w:val="24"/>
                  <w:szCs w:val="24"/>
                </w:rPr>
                <w:t xml:space="preserve">E-Jurnal Ekonomi Dan Bisnis Universitas Udayana </w:t>
              </w:r>
              <w:r>
                <w:rPr>
                  <w:rFonts w:ascii="Times New Roman" w:hAnsi="Times New Roman" w:cs="Times New Roman"/>
                  <w:sz w:val="24"/>
                  <w:szCs w:val="24"/>
                </w:rPr>
                <w:t>, 1729-1756.</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Sartika, Y. D. (2017). </w:t>
              </w:r>
              <w:r>
                <w:rPr>
                  <w:rFonts w:ascii="Times New Roman" w:hAnsi="Times New Roman" w:cs="Times New Roman"/>
                  <w:i/>
                  <w:iCs/>
                  <w:sz w:val="24"/>
                  <w:szCs w:val="24"/>
                </w:rPr>
                <w:t>Pengaruh Corporate Social Responsibility (Csr) Terhadap Nilai Perusahaan Yang Terdaftar Di Indeks Saham Syariah Indonesia (Issi) .</w:t>
              </w:r>
              <w:r>
                <w:rPr>
                  <w:rFonts w:ascii="Times New Roman" w:hAnsi="Times New Roman" w:cs="Times New Roman"/>
                  <w:sz w:val="24"/>
                  <w:szCs w:val="24"/>
                </w:rPr>
                <w:t xml:space="preserve"> Bengkulu: Fakultas Ekonomi Dan Bisnis Islam.</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Shakti, N. E., &amp; Dkk. (2016). Pengaruh Insider Ownership, Risiko Bisnis, Dan Pertumbuhan Terhadap Debt To Equity Ratio Dan Dampaknya Pada Dividend Payout Ratio. </w:t>
              </w:r>
              <w:r>
                <w:rPr>
                  <w:rFonts w:ascii="Times New Roman" w:hAnsi="Times New Roman" w:cs="Times New Roman"/>
                  <w:i/>
                  <w:iCs/>
                  <w:sz w:val="24"/>
                  <w:szCs w:val="24"/>
                </w:rPr>
                <w:t>Program Studi Magister Manajemen Program Pascasarjana,</w:t>
              </w:r>
              <w:r>
                <w:rPr>
                  <w:rFonts w:ascii="Times New Roman" w:hAnsi="Times New Roman" w:cs="Times New Roman"/>
                  <w:sz w:val="24"/>
                  <w:szCs w:val="24"/>
                </w:rPr>
                <w:t xml:space="preserve"> , 10-20.</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Sianipar, M. A. (2019). Peran Investment Opportunity Setsebagai Pemoderasi Pengaruh Kinerja Keuangan, Goodcorporate Governance Dan Corporate Social Responsibility Terhadap Nilai Perusahaan. </w:t>
              </w:r>
              <w:r>
                <w:rPr>
                  <w:rFonts w:ascii="Times New Roman" w:hAnsi="Times New Roman" w:cs="Times New Roman"/>
                  <w:i/>
                  <w:iCs/>
                  <w:sz w:val="24"/>
                  <w:szCs w:val="24"/>
                </w:rPr>
                <w:t>Jurnal Akuntansi Trisakti</w:t>
              </w:r>
              <w:r>
                <w:rPr>
                  <w:rFonts w:ascii="Times New Roman" w:hAnsi="Times New Roman" w:cs="Times New Roman"/>
                  <w:sz w:val="24"/>
                  <w:szCs w:val="24"/>
                </w:rPr>
                <w:t xml:space="preserve"> , 85-100.</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Siswanto, R., &amp; Yanti, B. (2018). Pengaruh Corporate Sosial Responsibility (Csr) Terhadap Nilai Perusahaan . </w:t>
              </w:r>
              <w:r>
                <w:rPr>
                  <w:rFonts w:ascii="Times New Roman" w:hAnsi="Times New Roman" w:cs="Times New Roman"/>
                  <w:i/>
                  <w:iCs/>
                  <w:sz w:val="24"/>
                  <w:szCs w:val="24"/>
                </w:rPr>
                <w:t>Jurnal Manajemen Dan Kewirausahaan</w:t>
              </w:r>
              <w:r>
                <w:rPr>
                  <w:rFonts w:ascii="Times New Roman" w:hAnsi="Times New Roman" w:cs="Times New Roman"/>
                  <w:sz w:val="24"/>
                  <w:szCs w:val="24"/>
                </w:rPr>
                <w:t xml:space="preserve"> , 1-17.</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Sondakh, R., &amp; Morasa, J. (2019). Ipteks Mengukur Nilai Perusahaan Di Pasar Modal Pada Perusahaan Yang Terdaftar Di Bursa Efek Indonesia. </w:t>
              </w:r>
              <w:r>
                <w:rPr>
                  <w:rFonts w:ascii="Times New Roman" w:hAnsi="Times New Roman" w:cs="Times New Roman"/>
                  <w:i/>
                  <w:iCs/>
                  <w:sz w:val="24"/>
                  <w:szCs w:val="24"/>
                </w:rPr>
                <w:t>Ipteks Akuntansi Bagi Masyarakat,</w:t>
              </w:r>
              <w:r>
                <w:rPr>
                  <w:rFonts w:ascii="Times New Roman" w:hAnsi="Times New Roman" w:cs="Times New Roman"/>
                  <w:sz w:val="24"/>
                  <w:szCs w:val="24"/>
                </w:rPr>
                <w:t xml:space="preserve"> , 17-22.</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Sudiani, N. K., &amp; Darmayanti, N. P. (2018). Pengaruh Profitabilitas, Likuiditas, Pertumbuhan, Daninvestment Opportunity Set Terhadap Nilai Perusahaan. </w:t>
              </w:r>
              <w:r>
                <w:rPr>
                  <w:rFonts w:ascii="Times New Roman" w:hAnsi="Times New Roman" w:cs="Times New Roman"/>
                  <w:i/>
                  <w:iCs/>
                  <w:sz w:val="24"/>
                  <w:szCs w:val="24"/>
                </w:rPr>
                <w:t>E-Jurnal Manajemen Unud</w:t>
              </w:r>
              <w:r>
                <w:rPr>
                  <w:rFonts w:ascii="Times New Roman" w:hAnsi="Times New Roman" w:cs="Times New Roman"/>
                  <w:sz w:val="24"/>
                  <w:szCs w:val="24"/>
                </w:rPr>
                <w:t xml:space="preserve"> , 2302-8912.</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Sujana, I. K., &amp; Dewi, I. A. (2019). Pengaruh Likuiditas, Pertumbuhan Penjualan, Dan Risiko Bisnis Terhadap Nilai Perusahaan . </w:t>
              </w:r>
              <w:r>
                <w:rPr>
                  <w:rFonts w:ascii="Times New Roman" w:hAnsi="Times New Roman" w:cs="Times New Roman"/>
                  <w:i/>
                  <w:iCs/>
                  <w:sz w:val="24"/>
                  <w:szCs w:val="24"/>
                </w:rPr>
                <w:t xml:space="preserve">E-Jurnal Akuntansi Universitas Udayana </w:t>
              </w:r>
              <w:r>
                <w:rPr>
                  <w:rFonts w:ascii="Times New Roman" w:hAnsi="Times New Roman" w:cs="Times New Roman"/>
                  <w:sz w:val="24"/>
                  <w:szCs w:val="24"/>
                </w:rPr>
                <w:t>, 85-110 .</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Tan, A. P. (2018). </w:t>
              </w:r>
              <w:r>
                <w:rPr>
                  <w:rFonts w:ascii="Times New Roman" w:hAnsi="Times New Roman" w:cs="Times New Roman"/>
                  <w:i/>
                  <w:iCs/>
                  <w:sz w:val="24"/>
                  <w:szCs w:val="24"/>
                </w:rPr>
                <w:t>Engaruh Struktur Modal, Pertumbuhan Penjualan,Profitabilitas,Ukuran Perusahaan Dan Kebijakan Deviden Terhadap Nilai Perusahaan.</w:t>
              </w:r>
              <w:r>
                <w:rPr>
                  <w:rFonts w:ascii="Times New Roman" w:hAnsi="Times New Roman" w:cs="Times New Roman"/>
                  <w:sz w:val="24"/>
                  <w:szCs w:val="24"/>
                </w:rPr>
                <w:t xml:space="preserve"> Purwokerto: Universitas Muhammadiyah Purwokerto.</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Taufiqurochman, F. (2019). </w:t>
              </w:r>
              <w:r>
                <w:rPr>
                  <w:rFonts w:ascii="Times New Roman" w:hAnsi="Times New Roman" w:cs="Times New Roman"/>
                  <w:i/>
                  <w:iCs/>
                  <w:sz w:val="24"/>
                  <w:szCs w:val="24"/>
                </w:rPr>
                <w:t>Pengaruh Intellectual Capitalterhadap Nilai Perusahaan Dengan Kinerja Keuangan Sebagai Variabel Intervening.</w:t>
              </w:r>
              <w:r>
                <w:rPr>
                  <w:rFonts w:ascii="Times New Roman" w:hAnsi="Times New Roman" w:cs="Times New Roman"/>
                  <w:sz w:val="24"/>
                  <w:szCs w:val="24"/>
                </w:rPr>
                <w:t xml:space="preserve"> Bandung: Universitas Pasundan Bandung.</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Wahyudi, S. M. (2020). The Effect Of Corporate Social Responbility, Invesment Opportunity Set, Leverage, And Size Of Companies On Corporate Value. </w:t>
              </w:r>
              <w:r>
                <w:rPr>
                  <w:rFonts w:ascii="Times New Roman" w:hAnsi="Times New Roman" w:cs="Times New Roman"/>
                  <w:i/>
                  <w:iCs/>
                  <w:sz w:val="24"/>
                  <w:szCs w:val="24"/>
                </w:rPr>
                <w:t>F Business And Management Research</w:t>
              </w:r>
              <w:r>
                <w:rPr>
                  <w:rFonts w:ascii="Times New Roman" w:hAnsi="Times New Roman" w:cs="Times New Roman"/>
                  <w:sz w:val="24"/>
                  <w:szCs w:val="24"/>
                </w:rPr>
                <w:t xml:space="preserve"> , 1-7.</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Wairooy, M. A. (2019). Pengaruh Ukuran Perusahaan Dan Risiko Bisnis Terhadap Struktur Modal Pada Perusahaan Industri Otomotif Yang Terdaftar Di Bursa Efek Indonesia. </w:t>
              </w:r>
              <w:r>
                <w:rPr>
                  <w:rFonts w:ascii="Times New Roman" w:hAnsi="Times New Roman" w:cs="Times New Roman"/>
                  <w:i/>
                  <w:iCs/>
                  <w:sz w:val="24"/>
                  <w:szCs w:val="24"/>
                </w:rPr>
                <w:t>Jurnal Ekonomi Balance Fakultas Ekonomi Dan Bisnis</w:t>
              </w:r>
              <w:r>
                <w:rPr>
                  <w:rFonts w:ascii="Times New Roman" w:hAnsi="Times New Roman" w:cs="Times New Roman"/>
                  <w:sz w:val="24"/>
                  <w:szCs w:val="24"/>
                </w:rPr>
                <w:t xml:space="preserve"> , 1858-2192.</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Wardah, T. R. (2019). </w:t>
              </w:r>
              <w:r>
                <w:rPr>
                  <w:rFonts w:ascii="Times New Roman" w:hAnsi="Times New Roman" w:cs="Times New Roman"/>
                  <w:i/>
                  <w:iCs/>
                  <w:sz w:val="24"/>
                  <w:szCs w:val="24"/>
                </w:rPr>
                <w:t>Pengaruh Good Corporate Governance, Leverage, Ukuran Perusahaan Dan Corporate Social Responsibility Terhadap Nilai Perusahaan (Studi Empiris Pada Sektor Industri Barang Konsumsi Di Bursa Efek Indonesia Periode 2014 – 2016).</w:t>
              </w:r>
              <w:r>
                <w:rPr>
                  <w:rFonts w:ascii="Times New Roman" w:hAnsi="Times New Roman" w:cs="Times New Roman"/>
                  <w:sz w:val="24"/>
                  <w:szCs w:val="24"/>
                </w:rPr>
                <w:t xml:space="preserve"> Kudus: Universitas Muria Kudus.</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Wijaya, R. A., &amp; Suganda, T. R. (2020). Pengaruh Investment Opportunity Set, Kinerja Keuangan, Dan Intangible Assetterhadapnilaiperusahaan. </w:t>
              </w:r>
              <w:r>
                <w:rPr>
                  <w:rFonts w:ascii="Times New Roman" w:hAnsi="Times New Roman" w:cs="Times New Roman"/>
                  <w:i/>
                  <w:iCs/>
                  <w:sz w:val="24"/>
                  <w:szCs w:val="24"/>
                </w:rPr>
                <w:t>Akuntabel</w:t>
              </w:r>
              <w:r>
                <w:rPr>
                  <w:rFonts w:ascii="Times New Roman" w:hAnsi="Times New Roman" w:cs="Times New Roman"/>
                  <w:sz w:val="24"/>
                  <w:szCs w:val="24"/>
                </w:rPr>
                <w:t xml:space="preserve"> , 215-225.</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Wulandari, H. D. (2019). </w:t>
              </w:r>
              <w:r>
                <w:rPr>
                  <w:rFonts w:ascii="Times New Roman" w:hAnsi="Times New Roman" w:cs="Times New Roman"/>
                  <w:i/>
                  <w:iCs/>
                  <w:sz w:val="24"/>
                  <w:szCs w:val="24"/>
                </w:rPr>
                <w:t>Pengaruh Good Corporate Governance, Leverage,Dan Investment Opportunity Setterhadap Firm Valuedengan Profitability Ratio Sebagai Variabel Intervening.</w:t>
              </w:r>
              <w:r>
                <w:rPr>
                  <w:rFonts w:ascii="Times New Roman" w:hAnsi="Times New Roman" w:cs="Times New Roman"/>
                  <w:sz w:val="24"/>
                  <w:szCs w:val="24"/>
                </w:rPr>
                <w:t xml:space="preserve"> Jakarta: Universitas Islam Negeri Syarif Hidayatullah.</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Yulia, D. (2020). Analisis Pengaruh Ekuitas Merek Pada Keputusan Pembelian Smartphone I Phone Xs Max Di Indonesia. </w:t>
              </w:r>
              <w:r>
                <w:rPr>
                  <w:rFonts w:ascii="Times New Roman" w:hAnsi="Times New Roman" w:cs="Times New Roman"/>
                  <w:i/>
                  <w:iCs/>
                  <w:sz w:val="24"/>
                  <w:szCs w:val="24"/>
                </w:rPr>
                <w:t>Jurnal Produktivitas</w:t>
              </w:r>
              <w:r>
                <w:rPr>
                  <w:rFonts w:ascii="Times New Roman" w:hAnsi="Times New Roman" w:cs="Times New Roman"/>
                  <w:sz w:val="24"/>
                  <w:szCs w:val="24"/>
                </w:rPr>
                <w:t xml:space="preserve"> , 10-22.</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Yuliandari, G. A. (2020). Engaruh Corporate Social Responsibility, Good Corporate Governance, Dan Investment Opportunity Setterhadap Nilai Perusahaan Lq45 Tahun 2017-2018. </w:t>
              </w:r>
              <w:r>
                <w:rPr>
                  <w:rFonts w:ascii="Times New Roman" w:hAnsi="Times New Roman" w:cs="Times New Roman"/>
                  <w:i/>
                  <w:iCs/>
                  <w:sz w:val="24"/>
                  <w:szCs w:val="24"/>
                </w:rPr>
                <w:t xml:space="preserve">Manajamen Fakultas Ekonomi Dan Bisnis </w:t>
              </w:r>
              <w:r>
                <w:rPr>
                  <w:rFonts w:ascii="Times New Roman" w:hAnsi="Times New Roman" w:cs="Times New Roman"/>
                  <w:sz w:val="24"/>
                  <w:szCs w:val="24"/>
                </w:rPr>
                <w:t>, 209-220.</w:t>
              </w:r>
            </w:p>
            <w:p>
              <w:pPr>
                <w:pStyle w:val="32"/>
                <w:ind w:left="720" w:hanging="720"/>
                <w:rPr>
                  <w:rFonts w:ascii="Times New Roman" w:hAnsi="Times New Roman" w:cs="Times New Roman"/>
                  <w:sz w:val="24"/>
                  <w:szCs w:val="24"/>
                </w:rPr>
              </w:pPr>
              <w:r>
                <w:rPr>
                  <w:rFonts w:ascii="Times New Roman" w:hAnsi="Times New Roman" w:cs="Times New Roman"/>
                  <w:sz w:val="24"/>
                  <w:szCs w:val="24"/>
                </w:rPr>
                <w:t xml:space="preserve">Yunan, F. A. (2017). </w:t>
              </w:r>
              <w:r>
                <w:rPr>
                  <w:rFonts w:ascii="Times New Roman" w:hAnsi="Times New Roman" w:cs="Times New Roman"/>
                  <w:i/>
                  <w:iCs/>
                  <w:sz w:val="24"/>
                  <w:szCs w:val="24"/>
                </w:rPr>
                <w:t>Pengaruh Risiko Bisnis Dan Profitabilitas Terhadap Nilai Perusahaan Dengan Struktur Modal Sebagai Variabel Intervening.</w:t>
              </w:r>
              <w:r>
                <w:rPr>
                  <w:rFonts w:ascii="Times New Roman" w:hAnsi="Times New Roman" w:cs="Times New Roman"/>
                  <w:sz w:val="24"/>
                  <w:szCs w:val="24"/>
                </w:rPr>
                <w:t xml:space="preserve"> Surabaya: Sekolah Tinggi Ilmu Ekonomi Perbanas.</w:t>
              </w:r>
            </w:p>
            <w:p>
              <w:pPr>
                <w:ind w:left="720" w:hanging="720"/>
                <w:rPr>
                  <w:rFonts w:ascii="Times New Roman" w:hAnsi="Times New Roman" w:cs="Times New Roman"/>
                  <w:sz w:val="24"/>
                  <w:szCs w:val="24"/>
                </w:rPr>
              </w:pPr>
              <w:r>
                <w:rPr>
                  <w:rFonts w:ascii="Times New Roman" w:hAnsi="Times New Roman" w:cs="Times New Roman"/>
                  <w:sz w:val="24"/>
                  <w:szCs w:val="24"/>
                </w:rPr>
                <w:fldChar w:fldCharType="end"/>
              </w:r>
            </w:p>
          </w:sdtContent>
        </w:sdt>
      </w:sdtContent>
    </w:sdt>
    <w:sdt>
      <w:sdtPr>
        <w:rPr>
          <w:rFonts w:ascii="Times New Roman" w:hAnsi="Times New Roman" w:cs="Times New Roman"/>
          <w:sz w:val="24"/>
          <w:szCs w:val="24"/>
        </w:rPr>
        <w:id w:val="-1824894709"/>
      </w:sdtPr>
      <w:sdtEndPr>
        <w:rPr>
          <w:rFonts w:asciiTheme="minorHAnsi" w:hAnsiTheme="minorHAnsi" w:cstheme="minorBidi"/>
          <w:sz w:val="22"/>
          <w:szCs w:val="22"/>
        </w:rPr>
      </w:sdtEndPr>
      <w:sdtContent>
        <w:p>
          <w:pPr>
            <w:ind w:left="720" w:hanging="720"/>
            <w:rPr>
              <w:rFonts w:ascii="Times New Roman" w:hAnsi="Times New Roman" w:cs="Times New Roman"/>
              <w:sz w:val="24"/>
              <w:szCs w:val="24"/>
            </w:rPr>
          </w:pPr>
          <w:r>
            <w:fldChar w:fldCharType="begin"/>
          </w:r>
          <w:r>
            <w:instrText xml:space="preserve"> HYPERLINK "http://www.Idx.Co.Id" </w:instrText>
          </w:r>
          <w:r>
            <w:fldChar w:fldCharType="separate"/>
          </w:r>
          <w:r>
            <w:rPr>
              <w:rStyle w:val="12"/>
              <w:rFonts w:ascii="Times New Roman" w:hAnsi="Times New Roman" w:cs="Times New Roman"/>
              <w:color w:val="auto"/>
              <w:sz w:val="24"/>
              <w:szCs w:val="24"/>
              <w:u w:val="none"/>
            </w:rPr>
            <w:t>www.idx.co.id</w:t>
          </w:r>
          <w:r>
            <w:rPr>
              <w:rStyle w:val="12"/>
              <w:rFonts w:ascii="Times New Roman" w:hAnsi="Times New Roman" w:cs="Times New Roman"/>
              <w:color w:val="auto"/>
              <w:sz w:val="24"/>
              <w:szCs w:val="24"/>
              <w:u w:val="none"/>
            </w:rPr>
            <w:fldChar w:fldCharType="end"/>
          </w:r>
        </w:p>
        <w:p>
          <w:pPr>
            <w:ind w:left="720" w:hanging="720"/>
            <w:rPr>
              <w:rFonts w:ascii="Times New Roman" w:hAnsi="Times New Roman" w:cs="Times New Roman"/>
              <w:sz w:val="24"/>
              <w:szCs w:val="24"/>
            </w:rPr>
          </w:pPr>
          <w:r>
            <w:fldChar w:fldCharType="begin"/>
          </w:r>
          <w:r>
            <w:instrText xml:space="preserve"> HYPERLINK "http://www.Id.Beritasatu.Com" </w:instrText>
          </w:r>
          <w:r>
            <w:fldChar w:fldCharType="separate"/>
          </w:r>
          <w:r>
            <w:rPr>
              <w:rStyle w:val="12"/>
              <w:rFonts w:ascii="Times New Roman" w:hAnsi="Times New Roman" w:cs="Times New Roman"/>
              <w:color w:val="auto"/>
              <w:sz w:val="24"/>
              <w:szCs w:val="24"/>
              <w:u w:val="none"/>
            </w:rPr>
            <w:t>www.id.beritasatu.com</w:t>
          </w:r>
          <w:r>
            <w:rPr>
              <w:rStyle w:val="12"/>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pPr>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 kontan,co,id. com</w:t>
          </w:r>
        </w:p>
        <w:p>
          <w:pPr>
            <w:ind w:left="720" w:hanging="720"/>
            <w:rPr>
              <w:rFonts w:ascii="Times New Roman" w:hAnsi="Times New Roman" w:cs="Times New Roman"/>
              <w:sz w:val="24"/>
              <w:szCs w:val="24"/>
            </w:rPr>
          </w:pPr>
          <w:r>
            <w:rPr>
              <w:rFonts w:ascii="Times New Roman" w:hAnsi="Times New Roman" w:cs="Times New Roman"/>
              <w:color w:val="000000" w:themeColor="text1"/>
              <w:sz w:val="24"/>
              <w:szCs w:val="24"/>
            </w:rPr>
            <w:t>www.</w:t>
          </w:r>
          <w:r>
            <w:rPr>
              <w:rFonts w:ascii="Times New Roman" w:hAnsi="Times New Roman" w:cs="Times New Roman"/>
              <w:sz w:val="24"/>
              <w:szCs w:val="24"/>
            </w:rPr>
            <w:t xml:space="preserve"> katadata.co,id. com</w:t>
          </w:r>
        </w:p>
        <w:p>
          <w:pPr>
            <w:ind w:left="720" w:hanging="720"/>
            <w:rPr>
              <w:rFonts w:ascii="Times New Roman" w:hAnsi="Times New Roman" w:cs="Times New Roman"/>
              <w:color w:val="000000" w:themeColor="text1"/>
              <w:sz w:val="24"/>
              <w:szCs w:val="24"/>
            </w:rPr>
          </w:pPr>
          <w:r>
            <w:rPr>
              <w:rStyle w:val="25"/>
              <w:rFonts w:ascii="Times New Roman" w:hAnsi="Times New Roman" w:cs="Times New Roman"/>
              <w:bCs/>
              <w:sz w:val="24"/>
              <w:szCs w:val="24"/>
            </w:rPr>
            <w:t>www.infovesta.com</w:t>
          </w:r>
        </w:p>
      </w:sdtContent>
    </w:sdt>
    <w:p>
      <w:pPr>
        <w:spacing w:line="240" w:lineRule="auto"/>
        <w:ind w:firstLine="0"/>
        <w:jc w:val="left"/>
        <w:rPr>
          <w:rFonts w:ascii="Times New Roman" w:hAnsi="Times New Roman" w:cs="Times New Roman"/>
          <w:sz w:val="24"/>
          <w:szCs w:val="24"/>
        </w:rPr>
      </w:pPr>
    </w:p>
    <w:p>
      <w:pPr>
        <w:spacing w:line="240" w:lineRule="auto"/>
        <w:ind w:firstLine="0"/>
        <w:jc w:val="left"/>
        <w:rPr>
          <w:rFonts w:ascii="Times New Roman" w:hAnsi="Times New Roman" w:cs="Times New Roman"/>
          <w:sz w:val="24"/>
          <w:szCs w:val="24"/>
        </w:rPr>
      </w:pP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pPr>
        <w:spacing w:line="240" w:lineRule="auto"/>
        <w:ind w:firstLine="0"/>
        <w:jc w:val="left"/>
        <w:rPr>
          <w:rFonts w:ascii="Times New Roman" w:hAnsi="Times New Roman" w:cs="Times New Roman"/>
          <w:b/>
          <w:sz w:val="24"/>
          <w:szCs w:val="24"/>
        </w:rPr>
      </w:pPr>
    </w:p>
    <w:p>
      <w:pPr>
        <w:tabs>
          <w:tab w:val="left" w:pos="90"/>
        </w:tabs>
        <w:jc w:val="center"/>
        <w:rPr>
          <w:rFonts w:ascii="Times New Roman" w:hAnsi="Times New Roman" w:cs="Times New Roman"/>
          <w:b/>
          <w:sz w:val="24"/>
          <w:szCs w:val="24"/>
        </w:rPr>
      </w:pPr>
      <w:r>
        <w:rPr>
          <w:rFonts w:ascii="Times New Roman" w:hAnsi="Times New Roman" w:cs="Times New Roman"/>
          <w:b/>
          <w:sz w:val="24"/>
          <w:szCs w:val="24"/>
        </w:rPr>
        <w:t>LAMPIRAN 2</w:t>
      </w:r>
    </w:p>
    <w:p>
      <w:pPr>
        <w:tabs>
          <w:tab w:val="left" w:pos="90"/>
        </w:tabs>
        <w:jc w:val="center"/>
        <w:rPr>
          <w:rFonts w:ascii="Times New Roman" w:hAnsi="Times New Roman" w:cs="Times New Roman"/>
          <w:b/>
          <w:sz w:val="24"/>
          <w:szCs w:val="24"/>
        </w:rPr>
      </w:pPr>
      <w:r>
        <w:rPr>
          <w:rFonts w:ascii="Times New Roman" w:hAnsi="Times New Roman" w:cs="Times New Roman"/>
          <w:b/>
          <w:sz w:val="24"/>
          <w:szCs w:val="24"/>
        </w:rPr>
        <w:t>Daftar Nama Perusahaan Pada Sub Sektor Perbankan Yang Terdaftar Dibursa Efek Indonesia (BEI)</w:t>
      </w:r>
    </w:p>
    <w:tbl>
      <w:tblPr>
        <w:tblStyle w:val="6"/>
        <w:tblW w:w="7812"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57"/>
        <w:gridCol w:w="4313"/>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No</w:t>
            </w:r>
          </w:p>
        </w:tc>
        <w:tc>
          <w:tcPr>
            <w:tcW w:w="1357"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Kode</w:t>
            </w:r>
          </w:p>
        </w:tc>
        <w:tc>
          <w:tcPr>
            <w:tcW w:w="4313"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NamaEmiten</w:t>
            </w:r>
          </w:p>
        </w:tc>
        <w:tc>
          <w:tcPr>
            <w:tcW w:w="1627" w:type="dxa"/>
            <w:tcBorders>
              <w:top w:val="single" w:color="auto" w:sz="4" w:space="0"/>
              <w:left w:val="single" w:color="auto" w:sz="4" w:space="0"/>
              <w:bottom w:val="single" w:color="auto" w:sz="4" w:space="0"/>
              <w:right w:val="single" w:color="auto" w:sz="4" w:space="0"/>
            </w:tcBorders>
            <w:shd w:val="clear" w:color="auto" w:fill="FFC000"/>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Tanggal</w:t>
            </w:r>
          </w:p>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b/>
                <w:bCs/>
                <w:color w:val="000000"/>
                <w:sz w:val="24"/>
                <w:szCs w:val="24"/>
                <w:lang w:eastAsia="id-ID"/>
              </w:rPr>
              <w:t>IPO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AGRO</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Rakyat Indonesia Agroniaga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08/08/2003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AGRS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Agris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22/12/2014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ARTO</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Artos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12/01/2016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BABP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MNC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15/07/2002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BACA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Capital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04/10/2007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BBCA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Central Asia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31/05/2000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BBHI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Harda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12/08/2015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BBKP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Bukopin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10/07/2006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BBMD</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Mestika Dharma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BBNI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Negara Indonesia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25/11/1996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BBNP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Nusantara Parahyangan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BBRI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Rakyat Indonesia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10/11/2003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BBTN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Negara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17/12/2009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BBYB</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Yudha Bhakti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13/01/2015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BCIC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JTrust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25/06/1997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BDMN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Danamon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06/12/1989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BEKS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Banten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13/07/2001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BGTG</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Ganesha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12/05/2016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BINA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Ina Perdana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16/01/2014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BJBR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Jawa Barat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BJTM</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Pembangunan Daerah Jawa Timur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12/07/2012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BKSW</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QNB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21/11/2002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BMAS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Maspion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BMRI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Mandiri (Persero)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14/07/2003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BNBA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Bumi Arta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01/06/2006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CIMB 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29/11/1989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BNII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Maybank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21/11/1989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BNLI</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Permata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15/01/1990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BRIS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BRIsyariah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01/01/1911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BSIM</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Sinarmas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13/12/2010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BSWD</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Of India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BTPN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Pensiunan 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12/03/2008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BTPS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Tabungan Pensiunan Nasional Syariah</w:t>
            </w:r>
            <w:r>
              <w:rPr>
                <w:rFonts w:hint="eastAsia" w:ascii="Times New Roman" w:hAnsi="Times New Roman" w:eastAsia="Times New Roman" w:cs="Times New Roman"/>
                <w:color w:val="000000"/>
                <w:sz w:val="24"/>
                <w:szCs w:val="24"/>
                <w:lang w:eastAsia="id-ID"/>
              </w:rPr>
              <w:br w:type="textWrapping"/>
            </w:r>
            <w:r>
              <w:rPr>
                <w:rFonts w:hint="eastAsia" w:ascii="Times New Roman" w:hAnsi="Times New Roman" w:eastAsia="Times New Roman" w:cs="Times New Roman"/>
                <w:color w:val="000000"/>
                <w:sz w:val="24"/>
                <w:szCs w:val="24"/>
                <w:lang w:eastAsia="id-ID"/>
              </w:rPr>
              <w:t>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08/05/2018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BVIC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Victoria International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30/06/1999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DNAR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Dinar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11/07/2014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36</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INPC</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Artha Graha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29/08/1990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37</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MAYA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Mayapada Internasional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29/08/1997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38</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MCOR</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China Construction Bank Indonesia</w:t>
            </w:r>
            <w:r>
              <w:rPr>
                <w:rFonts w:hint="eastAsia" w:ascii="Times New Roman" w:hAnsi="Times New Roman" w:eastAsia="Times New Roman" w:cs="Times New Roman"/>
                <w:color w:val="000000"/>
                <w:sz w:val="24"/>
                <w:szCs w:val="24"/>
                <w:lang w:eastAsia="id-ID"/>
              </w:rPr>
              <w:br w:type="textWrapping"/>
            </w:r>
            <w:r>
              <w:rPr>
                <w:rFonts w:hint="eastAsia" w:ascii="Times New Roman" w:hAnsi="Times New Roman" w:eastAsia="Times New Roman" w:cs="Times New Roman"/>
                <w:color w:val="000000"/>
                <w:sz w:val="24"/>
                <w:szCs w:val="24"/>
                <w:lang w:eastAsia="id-ID"/>
              </w:rPr>
              <w:t>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03/07/2007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39</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MEGA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Mega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17/04/2000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40</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NAGA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Mitraniaga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09/07/2013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41</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NISP</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OCBC NISP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20/10/1994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42</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NOBU</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Nationalnobu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20/05/2013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43</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PNBN</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Pan Indonesia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29/12/1982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44</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PNBS</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Panin Dubai Syariah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45</w:t>
            </w:r>
          </w:p>
        </w:tc>
        <w:tc>
          <w:tcPr>
            <w:tcW w:w="135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SDRA</w:t>
            </w:r>
          </w:p>
        </w:tc>
        <w:tc>
          <w:tcPr>
            <w:tcW w:w="4313"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Bank Woori Saudara Indonesia 1906 Tbk</w:t>
            </w:r>
          </w:p>
        </w:tc>
        <w:tc>
          <w:tcPr>
            <w:tcW w:w="1627" w:type="dxa"/>
            <w:tcBorders>
              <w:top w:val="single" w:color="auto" w:sz="4" w:space="0"/>
              <w:left w:val="single" w:color="auto" w:sz="4" w:space="0"/>
              <w:bottom w:val="single" w:color="auto" w:sz="4" w:space="0"/>
              <w:right w:val="single" w:color="auto" w:sz="4" w:space="0"/>
            </w:tcBorders>
            <w:noWrap/>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lang w:eastAsia="id-ID"/>
              </w:rPr>
              <w:t>15/12/2006</w:t>
            </w:r>
          </w:p>
        </w:tc>
      </w:tr>
    </w:tbl>
    <w:p>
      <w:pPr>
        <w:ind w:firstLine="0"/>
      </w:pPr>
      <w:r>
        <w:rPr>
          <w:rFonts w:ascii="Times New Roman" w:hAnsi="Times New Roman" w:cs="Times New Roman"/>
          <w:i/>
          <w:sz w:val="24"/>
          <w:szCs w:val="24"/>
        </w:rPr>
        <w:t xml:space="preserve">sumber : </w:t>
      </w:r>
      <w:r>
        <w:rPr>
          <w:rFonts w:ascii="Times New Roman" w:hAnsi="Times New Roman" w:cs="Times New Roman"/>
          <w:i/>
          <w:color w:val="000000" w:themeColor="text1"/>
          <w:sz w:val="24"/>
          <w:szCs w:val="24"/>
        </w:rPr>
        <w:t>(</w:t>
      </w:r>
      <w:r>
        <w:fldChar w:fldCharType="begin"/>
      </w:r>
      <w:r>
        <w:instrText xml:space="preserve"> HYPERLINK "http://www.idx.co.id" </w:instrText>
      </w:r>
      <w:r>
        <w:fldChar w:fldCharType="separate"/>
      </w:r>
      <w:r>
        <w:rPr>
          <w:rStyle w:val="12"/>
          <w:rFonts w:ascii="Times New Roman" w:hAnsi="Times New Roman" w:cs="Times New Roman"/>
          <w:i/>
          <w:color w:val="000000" w:themeColor="text1"/>
          <w:sz w:val="24"/>
          <w:szCs w:val="24"/>
        </w:rPr>
        <w:t>www.idx.co.id</w:t>
      </w:r>
      <w:r>
        <w:rPr>
          <w:rStyle w:val="12"/>
          <w:rFonts w:ascii="Times New Roman" w:hAnsi="Times New Roman" w:cs="Times New Roman"/>
          <w:i/>
          <w:color w:val="000000" w:themeColor="text1"/>
          <w:sz w:val="24"/>
          <w:szCs w:val="24"/>
        </w:rPr>
        <w:fldChar w:fldCharType="end"/>
      </w:r>
      <w:r>
        <w:t>)</w:t>
      </w: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r>
        <w:br w:type="page"/>
      </w:r>
    </w:p>
    <w:p>
      <w:pPr>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LAMPIRAN 3</w:t>
      </w:r>
    </w:p>
    <w:p>
      <w:pPr>
        <w:spacing w:line="240" w:lineRule="auto"/>
        <w:ind w:firstLine="0"/>
        <w:jc w:val="center"/>
        <w:rPr>
          <w:rFonts w:ascii="Times New Roman" w:hAnsi="Times New Roman" w:cs="Times New Roman"/>
          <w:b/>
          <w:sz w:val="28"/>
          <w:szCs w:val="28"/>
        </w:rPr>
      </w:pPr>
    </w:p>
    <w:p>
      <w:pPr>
        <w:ind w:firstLine="720"/>
        <w:jc w:val="center"/>
        <w:rPr>
          <w:rFonts w:ascii="Times New Roman" w:hAnsi="Times New Roman" w:cs="Times New Roman"/>
          <w:sz w:val="24"/>
          <w:szCs w:val="24"/>
        </w:rPr>
      </w:pPr>
      <w:r>
        <w:rPr>
          <w:rFonts w:ascii="Times New Roman" w:hAnsi="Times New Roman" w:cs="Times New Roman"/>
          <w:b/>
          <w:sz w:val="24"/>
          <w:szCs w:val="24"/>
        </w:rPr>
        <w:t>Perhitungan Market Value To Book Equity Pada Sub Sektor Perbankan Yang Terdaftar Di Bursa Efek Indonesia (Periode 2015-2019</w:t>
      </w:r>
      <w:r>
        <w:rPr>
          <w:rFonts w:ascii="Times New Roman" w:hAnsi="Times New Roman" w:cs="Times New Roman"/>
          <w:sz w:val="24"/>
          <w:szCs w:val="24"/>
        </w:rPr>
        <w:t>)</w:t>
      </w:r>
    </w:p>
    <w:p>
      <w:pPr>
        <w:ind w:firstLine="720"/>
        <w:jc w:val="center"/>
        <w:rPr>
          <w:b/>
        </w:rPr>
      </w:pPr>
      <w:r>
        <w:rPr>
          <w:rFonts w:ascii="Times New Roman" w:hAnsi="Times New Roman" w:cs="Times New Roman"/>
          <w:b/>
          <w:sz w:val="24"/>
          <w:szCs w:val="24"/>
        </w:rPr>
        <w:t>(Agka dinyatakan dalam jutaan rupiah)</w:t>
      </w:r>
    </w:p>
    <w:p>
      <w:pPr>
        <w:spacing w:line="240" w:lineRule="auto"/>
        <w:ind w:firstLine="0"/>
        <w:jc w:val="left"/>
      </w:pPr>
    </w:p>
    <w:tbl>
      <w:tblPr>
        <w:tblStyle w:val="6"/>
        <w:tblW w:w="9546" w:type="dxa"/>
        <w:jc w:val="center"/>
        <w:tblLayout w:type="autofit"/>
        <w:tblCellMar>
          <w:top w:w="0" w:type="dxa"/>
          <w:left w:w="108" w:type="dxa"/>
          <w:bottom w:w="0" w:type="dxa"/>
          <w:right w:w="108" w:type="dxa"/>
        </w:tblCellMar>
      </w:tblPr>
      <w:tblGrid>
        <w:gridCol w:w="828"/>
        <w:gridCol w:w="1605"/>
        <w:gridCol w:w="1185"/>
        <w:gridCol w:w="1872"/>
        <w:gridCol w:w="1450"/>
        <w:gridCol w:w="1366"/>
        <w:gridCol w:w="1240"/>
      </w:tblGrid>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N0</w:t>
            </w:r>
          </w:p>
        </w:tc>
        <w:tc>
          <w:tcPr>
            <w:tcW w:w="1605"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 xml:space="preserve"> KODE PERUSAHAAN </w:t>
            </w:r>
          </w:p>
        </w:tc>
        <w:tc>
          <w:tcPr>
            <w:tcW w:w="1185"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TAHUN</w:t>
            </w:r>
          </w:p>
        </w:tc>
        <w:tc>
          <w:tcPr>
            <w:tcW w:w="1872"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 xml:space="preserve"> JUMLAH LEMBAR SAHAM </w:t>
            </w:r>
          </w:p>
        </w:tc>
        <w:tc>
          <w:tcPr>
            <w:tcW w:w="145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HARGA PENUTUPAN SAHAM</w:t>
            </w:r>
          </w:p>
        </w:tc>
        <w:tc>
          <w:tcPr>
            <w:tcW w:w="1366"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 xml:space="preserve"> TOTAL EQUITY </w:t>
            </w:r>
          </w:p>
        </w:tc>
        <w:tc>
          <w:tcPr>
            <w:tcW w:w="1240" w:type="dxa"/>
            <w:tcBorders>
              <w:top w:val="nil"/>
              <w:left w:val="nil"/>
              <w:bottom w:val="single" w:color="FFFFFF" w:sz="12" w:space="0"/>
              <w:right w:val="nil"/>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6"/>
                <w:szCs w:val="16"/>
              </w:rPr>
            </w:pPr>
            <w:r>
              <w:rPr>
                <w:rFonts w:hint="eastAsia" w:ascii="Times New Roman" w:hAnsi="Times New Roman" w:eastAsia="Times New Roman" w:cs="Times New Roman"/>
                <w:b/>
                <w:bCs/>
                <w:color w:val="FFFFFF"/>
                <w:sz w:val="16"/>
                <w:szCs w:val="16"/>
              </w:rPr>
              <w:t xml:space="preserve"> MBVE  (X1)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AGRO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11.479.715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74</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1.352.412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628.14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15.325.177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359</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1.936.251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2.841.44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17.912.537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525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3.111.284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3.022.57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21.343.290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310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4.424.285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1.495.48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21.343.290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338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4.481.704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1.609.66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AGRS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5.232.739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567.097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784.32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5.256.176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91</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572.506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835.47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5.256.176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564.154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2.142.89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5.256.176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532.803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2.347.90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7.108.349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405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1.202.600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2.393.88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BABP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19.129.563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72</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1.708.204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806.30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20.581.465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1.860.405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774.40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21.261.473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52</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1.252.548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882.68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21.785.053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1.429.990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761.72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25.333.295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1.559.450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812.25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BACA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6.404.528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1.053.416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1.246.35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7.037.943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206</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1.315.040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1.102.49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7.039.500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216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1.408.386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1.079.63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7.070.128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1.484.963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1.428.34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7.070.141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296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1.537.640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1.361.02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BBCA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24.655.010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13300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89.624.940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3.658.71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24.655.010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15500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112.715.059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3.390.43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24.655.010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21900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131.401.694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4.109.12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24.655.010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26000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151.753.427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4.224.16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24.655.010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28175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174.143.156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3.988.99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BBHI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3.650.000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123</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375.968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1.194.12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3.650.000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381.808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650.06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4.015.000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440.333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1.057.70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4.184.431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171</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336.482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2.126.53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4.184.431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180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299.765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2.512.63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BBKP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9.065.282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7.535.179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842.14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21.337.978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640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9.537.932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1.431.79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9.086.620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590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6.758.952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793.19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11.651.908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8.594.437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368.76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11.651.908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364</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8.905.485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476.26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BBMD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4.090.090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1560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2.263.834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2.818.47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4.090.090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1500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2.681.773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2.287.72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4.090.090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1375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3.082.638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1.824.37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4.090.090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1380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3.088.013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1.827.82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4.090.090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1380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3.480.469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1.621.71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BBNI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18.648.656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4990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78.438.222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1.186.37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18.648.656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5525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89.254.000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1.154.39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18.648.656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9900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100.903.304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1.829.69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18.648.656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8800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110.373.789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1.486.84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18.648.656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9075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125.003.948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1.353.85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BBRI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24.669.162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2285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113.127.179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498.28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24.669.162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2335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146.812.590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392.35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123.345.810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3640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168.007.778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2.672.37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123.345.810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3660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185.275.331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2.436.62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123.345.810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3850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208.784.336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2.274.51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BBTN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10.582.345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1295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13.860.107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988.75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10.582.345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1740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19.130.536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962.51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10.582.345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3570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21.663.434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1.743.91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10.582.345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2540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23.840.448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1.127.46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10.582.345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23.836.195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1.216.45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12</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BBYB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2.515.160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329</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2.215.658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373.47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4.200.014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398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2.486.566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672.25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4.699.158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676.191.287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5.192.586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284</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600.385.324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6.161.782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945.783.595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BCIC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901.184.100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998.153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406.283.25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901.184.100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1.353.263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299.670.39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10.011.841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1.512.324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2.979.08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10.011.841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1.314.903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3.426.36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10.011.841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1.673.826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2.691.63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14</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BDMN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9.584.643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3200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34.214.849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896.42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9.584.643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3710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36.377.972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977.49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9.584.643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6950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39.172.152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1.700.53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9.584.643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7600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41.939.821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1.736.85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9.584.643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9100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45.417.027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1.920.43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15</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BEKS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10.755.117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310.670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519.29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64.109.430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57</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864.578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4.226.61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64.109.430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788.358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4.066.01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64.109.430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693.398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4.622.85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64.109.430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549.533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5.833.08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16</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BINA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2.100.000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214</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319.432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1.406.87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2.725.000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189</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482.705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1.066.96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2.725.000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995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1.204.184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2.251.63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2.725.000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670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1.208.052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1.511.32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2.725.000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590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1.221.096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1.316.65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BJBR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9.696.291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755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7.757.218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943.73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9.696.291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3390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9.674.228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3.397.73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9.696.291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10.104.975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2.302.93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9.696.291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11.285.315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1.761.35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9.696.291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2330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12.042.629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1.876.03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18</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BJTM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14.917.684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437</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6.295.461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1.035.51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14.945.057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570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7.209.572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1.181.58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14.974.591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710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7.816.074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1.360.27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14.978.134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690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8.471.936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1.219.90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14.978.134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745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9.185.652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1.214.80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19</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BKSW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8.757.145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232</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2.424.184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838.08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8.757.145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256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3.477.929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644.59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16.992.865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3.990.250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1.043.36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20.436.685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182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4.672.060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796.11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20.436.685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185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4.689.564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806.21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BMAS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3.851.000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848.006.715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3.851.000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420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1.111.612.136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3.851.000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392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1.162.157.388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3.851.000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368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1.200.740.595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3.851.000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314</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1.228.931.584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0.98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21</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BMRI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23.333.333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4625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119.491.841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903.13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23.333.333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3788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153.369.723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576.30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46.666.666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8000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170.006.132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2.196.00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46.666.666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7375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184.960.305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1.860.76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46.666.666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7450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209.034.525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1.663.20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22</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BNBA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2.310.000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190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1.233.868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355.71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2.310.000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1.296.667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356.30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2.310.000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1.362.829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454.26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2.310.000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276</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1.494.754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426.53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2.310.000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306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1.523.655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463.92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BNGA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25.131.606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595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28.679.387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521.40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25.131.606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645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34.207.622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473.87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25.131.606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1350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36.950.996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918.18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25.131.606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915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39.580.579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580.98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25.131.606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1105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43.294.166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641.44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BNII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67.746.840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15.743.268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731.55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67.746.840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338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19.272.606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1.188.13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67.746.840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263</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20.775.040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857.64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76.215.195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206</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25.090.691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625.74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76.215.195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26.684.160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702.62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25</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BNLI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26.880.234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829</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18.812.844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1.184.49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26.880.234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536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19.289.606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746.92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26.880.234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629</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21.510.742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786.01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26.880.234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625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22.451.936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748.27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26.880.234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1010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24.037.351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1.129.45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BSIM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14.151.999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393</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3.669.611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1.515.62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15.251.704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870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4.475.332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2.964.92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15.381.803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880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4.844.184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2.794.28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15.381.803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4.856.420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1.742.02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16.981.803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545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6.074.463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1.523.61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BSWD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1.041.600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3595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1.114.888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3.358.68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1.041.600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1.108.216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1.926.77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1.373.563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1735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1.121.236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2.125.45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1.388.800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1.130.232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2.150.35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1.388.800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1.163.069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2.089.64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28</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BTPN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5.840.287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13.923.859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1.006.67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5.840.287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16.312.428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945.19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5.840.287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2460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17.200.797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835.26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5.851.646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3440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19.364.407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1.039.52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8.148.928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3790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31.471.928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981.33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29</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BVIC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7.139.167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2.113.690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354.65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7.890.653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107</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2.626.270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321.48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8.671.048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236</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2.806.025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729.28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8.671.048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190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2.806.025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587.13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8.951.947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2.986.454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509.58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30</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DNAR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2.250.000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113</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432.681.024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0.59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2.250.000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446.078.173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2.250.000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280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458.087.599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2.250.000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276</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474.060.067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8.713.441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306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2.021.828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1.318.76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31</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INPC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13.088.274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64</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2.765.770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302.86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15.796.193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73</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4.424.389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260.63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15.796.193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4.507.912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280.33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15.796.193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4.587.111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213.50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15.796.195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81</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4.536.235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282.06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32</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MAYA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4.304.418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1609</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4.587.072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1.509.85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4.191.335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2768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7.053.472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1.644.81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5.465.928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3570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8.543.375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2.284.03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6.376.916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7020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10.788.574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4.149.39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6.832.410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6900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12.341.969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3.819.78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33</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MCOR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6.536.286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175</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1.413.732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809.10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16.631.460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148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2.396.184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1.027.24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16.631.460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214</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2.443.795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1.456.40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16.631.460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142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2.516.158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938.60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16.631.460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169</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2.794.858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1.005.67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34</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MEGA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6.963.775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3275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11.517.195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1.980.20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6.963.775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2550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12.265.681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1.447.75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6.963.775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3.44</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13.064.616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1.83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6.963.775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4900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13.782.673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2.475.75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6.963.775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4.38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15.541.438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35</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NISP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11.472.648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638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16.411.347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446.01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11.472.648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1035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19.506.576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608.73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11.472.648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918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21.784.354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483.46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22.945.296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855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24.428.254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803.10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22.945.296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27.664.803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779.64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36</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NOBU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4.311.330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452</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1.189.658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1.638.05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4.437.912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760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1.331.757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2.532.60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4.437.912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960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1.391.946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3.060.75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4.437.912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1000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1.414.377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3.137.72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4.437.912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965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1.464.417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2.924.43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37</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PNBN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24.087.645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820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30.806.209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641.17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24.087.645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750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34.200.800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528.23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24.087.645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1140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36.288.731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756.71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24.087.645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1145</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40.747.117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676.87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24.087.645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1410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44.441.714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764.23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38</w:t>
            </w: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PNBS </w:t>
            </w: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9.872.717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266</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1.155.490.602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2.27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9.919.525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128</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1.187.940.719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10.195.335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69</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274.196.365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2.57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23.959.037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1.668.466.115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0.72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23.959.037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61</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1.694.565.519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0.86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39</w:t>
            </w: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SDRA  </w:t>
            </w: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2015</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5.211.339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1050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4.135.931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1.323.02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2016</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5.211.340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1098</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4.411.890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1.296.96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2017</w:t>
            </w:r>
          </w:p>
        </w:tc>
        <w:tc>
          <w:tcPr>
            <w:tcW w:w="1872"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6.580.926 </w:t>
            </w:r>
          </w:p>
        </w:tc>
        <w:tc>
          <w:tcPr>
            <w:tcW w:w="145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890</w:t>
            </w:r>
          </w:p>
        </w:tc>
        <w:tc>
          <w:tcPr>
            <w:tcW w:w="1366"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6.106.998 </w:t>
            </w:r>
          </w:p>
        </w:tc>
        <w:tc>
          <w:tcPr>
            <w:tcW w:w="12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959.07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2018</w:t>
            </w:r>
          </w:p>
        </w:tc>
        <w:tc>
          <w:tcPr>
            <w:tcW w:w="1872"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6.580.926 </w:t>
            </w:r>
          </w:p>
        </w:tc>
        <w:tc>
          <w:tcPr>
            <w:tcW w:w="145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860</w:t>
            </w:r>
          </w:p>
        </w:tc>
        <w:tc>
          <w:tcPr>
            <w:tcW w:w="1366"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6.550.468 </w:t>
            </w:r>
          </w:p>
        </w:tc>
        <w:tc>
          <w:tcPr>
            <w:tcW w:w="12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864.00 </w:t>
            </w:r>
          </w:p>
        </w:tc>
      </w:tr>
      <w:tr>
        <w:tblPrEx>
          <w:tblCellMar>
            <w:top w:w="0" w:type="dxa"/>
            <w:left w:w="108" w:type="dxa"/>
            <w:bottom w:w="0" w:type="dxa"/>
            <w:right w:w="108" w:type="dxa"/>
          </w:tblCellMar>
        </w:tblPrEx>
        <w:trPr>
          <w:trHeight w:val="300" w:hRule="atLeast"/>
          <w:jc w:val="center"/>
        </w:trPr>
        <w:tc>
          <w:tcPr>
            <w:tcW w:w="828"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605"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p>
        </w:tc>
        <w:tc>
          <w:tcPr>
            <w:tcW w:w="1185"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2019</w:t>
            </w:r>
          </w:p>
        </w:tc>
        <w:tc>
          <w:tcPr>
            <w:tcW w:w="1872"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6.580.926 </w:t>
            </w:r>
          </w:p>
        </w:tc>
        <w:tc>
          <w:tcPr>
            <w:tcW w:w="145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850</w:t>
            </w:r>
          </w:p>
        </w:tc>
        <w:tc>
          <w:tcPr>
            <w:tcW w:w="1366"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6.935.590 </w:t>
            </w:r>
          </w:p>
        </w:tc>
        <w:tc>
          <w:tcPr>
            <w:tcW w:w="1240" w:type="dxa"/>
            <w:tcBorders>
              <w:top w:val="nil"/>
              <w:left w:val="nil"/>
              <w:bottom w:val="nil"/>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6"/>
                <w:szCs w:val="16"/>
              </w:rPr>
            </w:pPr>
            <w:r>
              <w:rPr>
                <w:rFonts w:hint="eastAsia" w:ascii="Times New Roman" w:hAnsi="Times New Roman" w:eastAsia="Times New Roman" w:cs="Times New Roman"/>
                <w:color w:val="000000"/>
                <w:sz w:val="16"/>
                <w:szCs w:val="16"/>
              </w:rPr>
              <w:t xml:space="preserve">             806.53 </w:t>
            </w:r>
          </w:p>
        </w:tc>
      </w:tr>
    </w:tbl>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ind w:firstLine="720"/>
        <w:jc w:val="center"/>
        <w:rPr>
          <w:rFonts w:ascii="Times New Roman" w:hAnsi="Times New Roman" w:cs="Times New Roman"/>
          <w:b/>
          <w:sz w:val="28"/>
          <w:szCs w:val="28"/>
        </w:rPr>
      </w:pPr>
      <w:r>
        <w:br w:type="page"/>
      </w:r>
      <w:r>
        <w:rPr>
          <w:rFonts w:ascii="Times New Roman" w:hAnsi="Times New Roman" w:cs="Times New Roman"/>
          <w:b/>
          <w:sz w:val="28"/>
          <w:szCs w:val="28"/>
        </w:rPr>
        <w:t>LAMPIRAN 4</w:t>
      </w:r>
    </w:p>
    <w:p>
      <w:pPr>
        <w:ind w:firstLine="0"/>
        <w:rPr>
          <w:rFonts w:ascii="Times New Roman" w:hAnsi="Times New Roman" w:cs="Times New Roman"/>
          <w:sz w:val="24"/>
          <w:szCs w:val="24"/>
        </w:rPr>
      </w:pPr>
      <w:r>
        <w:rPr>
          <w:rFonts w:ascii="Times New Roman" w:hAnsi="Times New Roman" w:cs="Times New Roman"/>
          <w:b/>
          <w:sz w:val="24"/>
          <w:szCs w:val="24"/>
        </w:rPr>
        <w:t xml:space="preserve">Perhitungan </w:t>
      </w:r>
      <w:r>
        <w:rPr>
          <w:rStyle w:val="25"/>
          <w:rFonts w:ascii="Times New Roman" w:hAnsi="Times New Roman" w:cs="Times New Roman"/>
          <w:b/>
          <w:sz w:val="24"/>
          <w:szCs w:val="24"/>
        </w:rPr>
        <w:t>Capital Expenditure To Book Value Of Asset</w:t>
      </w:r>
      <w:r>
        <w:rPr>
          <w:rStyle w:val="25"/>
          <w:rFonts w:ascii="Times New Roman" w:hAnsi="Times New Roman" w:cs="Times New Roman"/>
          <w:sz w:val="24"/>
          <w:szCs w:val="24"/>
        </w:rPr>
        <w:t xml:space="preserve"> </w:t>
      </w:r>
      <w:r>
        <w:rPr>
          <w:rFonts w:ascii="Times New Roman" w:hAnsi="Times New Roman" w:cs="Times New Roman"/>
          <w:b/>
          <w:sz w:val="24"/>
          <w:szCs w:val="24"/>
        </w:rPr>
        <w:t>Pada Sub Sektor Perbankan Yang Terdaftar Di Bursa Efek Indonesia (Periode 2015-2019</w:t>
      </w:r>
      <w:r>
        <w:rPr>
          <w:rFonts w:ascii="Times New Roman" w:hAnsi="Times New Roman" w:cs="Times New Roman"/>
          <w:sz w:val="24"/>
          <w:szCs w:val="24"/>
        </w:rPr>
        <w:t>)</w:t>
      </w:r>
    </w:p>
    <w:p>
      <w:pPr>
        <w:ind w:firstLine="720"/>
        <w:jc w:val="center"/>
        <w:rPr>
          <w:b/>
        </w:rPr>
      </w:pPr>
      <w:r>
        <w:rPr>
          <w:rFonts w:ascii="Times New Roman" w:hAnsi="Times New Roman" w:cs="Times New Roman"/>
          <w:b/>
          <w:sz w:val="24"/>
          <w:szCs w:val="24"/>
        </w:rPr>
        <w:t>(Agka dinyatakan dalam jutaan rupiah)</w:t>
      </w:r>
    </w:p>
    <w:tbl>
      <w:tblPr>
        <w:tblStyle w:val="6"/>
        <w:tblW w:w="10380" w:type="dxa"/>
        <w:jc w:val="center"/>
        <w:tblLayout w:type="autofit"/>
        <w:tblCellMar>
          <w:top w:w="0" w:type="dxa"/>
          <w:left w:w="108" w:type="dxa"/>
          <w:bottom w:w="0" w:type="dxa"/>
          <w:right w:w="108" w:type="dxa"/>
        </w:tblCellMar>
      </w:tblPr>
      <w:tblGrid>
        <w:gridCol w:w="31"/>
        <w:gridCol w:w="2003"/>
        <w:gridCol w:w="1170"/>
        <w:gridCol w:w="1890"/>
        <w:gridCol w:w="1830"/>
        <w:gridCol w:w="1596"/>
        <w:gridCol w:w="1860"/>
      </w:tblGrid>
      <w:tr>
        <w:tblPrEx>
          <w:tblCellMar>
            <w:top w:w="0" w:type="dxa"/>
            <w:left w:w="108" w:type="dxa"/>
            <w:bottom w:w="0" w:type="dxa"/>
            <w:right w:w="108" w:type="dxa"/>
          </w:tblCellMar>
        </w:tblPrEx>
        <w:trPr>
          <w:trHeight w:val="1008" w:hRule="atLeast"/>
          <w:jc w:val="center"/>
        </w:trPr>
        <w:tc>
          <w:tcPr>
            <w:tcW w:w="2034" w:type="dxa"/>
            <w:gridSpan w:val="2"/>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NAMA PERUSAHAAN</w:t>
            </w:r>
          </w:p>
        </w:tc>
        <w:tc>
          <w:tcPr>
            <w:tcW w:w="1170"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TAHUN</w:t>
            </w:r>
          </w:p>
        </w:tc>
        <w:tc>
          <w:tcPr>
            <w:tcW w:w="1890"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NILAI BUKU AKTIVA TETAP </w:t>
            </w:r>
          </w:p>
        </w:tc>
        <w:tc>
          <w:tcPr>
            <w:tcW w:w="1830"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NILAI BUKU AKTIVA TETAP T-1 </w:t>
            </w:r>
          </w:p>
        </w:tc>
        <w:tc>
          <w:tcPr>
            <w:tcW w:w="1596"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TOTAL AKTIVA </w:t>
            </w:r>
          </w:p>
        </w:tc>
        <w:tc>
          <w:tcPr>
            <w:tcW w:w="1860" w:type="dxa"/>
            <w:tcBorders>
              <w:top w:val="nil"/>
              <w:left w:val="nil"/>
              <w:bottom w:val="single" w:color="FFFFFF" w:sz="12" w:space="0"/>
              <w:right w:val="nil"/>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CAPBVA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AGRO</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49.832.968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28.864.690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8.364.502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2.506817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237.038.335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49.832.968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11.377.960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16.453333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241.947.944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237.038.335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16.322.593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0.300786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264.127.377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241.947.944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23.313.671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0.951349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259.140.701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264.127.377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27.067.922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(0.184228)</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AGRS</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20.582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26.384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4.217.368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(0.001376)</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26.908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20.582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4.418.634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0.001432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24.647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26.908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3.892.516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(0.000581)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21.471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24.647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4.151.151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(0.000765)</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15.792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21.471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6.421.844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(0.000884)</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BABP</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19.061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25.045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12.137.004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(0.000493)</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50.041 </w:t>
            </w:r>
          </w:p>
        </w:tc>
        <w:tc>
          <w:tcPr>
            <w:tcW w:w="1830" w:type="dxa"/>
            <w:tcBorders>
              <w:top w:val="nil"/>
              <w:left w:val="nil"/>
              <w:bottom w:val="single" w:color="FFFFFF" w:sz="4" w:space="0"/>
              <w:right w:val="single" w:color="FFFFFF" w:sz="4" w:space="0"/>
            </w:tcBorders>
            <w:shd w:val="clear" w:color="DBE5F1" w:fill="DBE5F1"/>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19.061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13.057.549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0.002373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54.151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50.041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10.706.094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0.000384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55.113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54.151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10.854.855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0.000089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48.137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55.113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10.607.879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(0.000658)</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BACA</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179.437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16.724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12.159.197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0.013382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231.792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179.437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14.207.414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0.003685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319.465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231.792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16.349.473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0.005362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328.164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319.465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18.019.614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0.000483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552.926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328.164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18.959.522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0.011855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BBCA</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8.844.930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7.440.017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59.437.277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0.023637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9.712.021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8.844.930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676.738.753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0.001281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16.990.835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9.712.021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750.319.671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0.009701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16.868.949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16.990.835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824.787.944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(0.000148)</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19.336.901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16.868.949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918.989.312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0.002686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BBHI</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33.062.128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31.320.094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2.079.034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0.837905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31.745.308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33.062.128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2.058.463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(0.639710)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32.682.159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31.745.308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2.458.823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0.381016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32.682.159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32.682.159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2.264.172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34.368.921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32.682.159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2.527.173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0.667450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BBKP</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943.283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802.257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94.366.502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0.001494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1.211.292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943.283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105.406.002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0.002543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2.658.228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1.211.292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106.442.999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0.013594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2.755.288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2.658.228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95.643.923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0.001015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3.075.041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2.755.288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100.264.248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0.003189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BBMD</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112.518.832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108.757.720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9.409.596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0.399710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137.344.246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112.518.832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10.587.950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2.344686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412.887.062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137.344.246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11.817.844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23.315828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463.125.169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412.887.062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12.093.079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4.154286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470.415.776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463.125.169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12.900.218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0.565154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BBNI</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6.222.050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4.591.588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508.595.288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0.003206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20.756.594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6.222.050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709.330.084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0.020491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21.972.223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20.756.594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808.572.011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0.001503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22.804.689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21.972.223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808.572.011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0.001030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26.126.508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22.804.689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845.605.208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0.003928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BBRI</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5.917.470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2.804.366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878.426.312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0.003544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8.039.280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5.917.470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1.003.644.426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0.002114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24.515.059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8.039.280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1.126.248.442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0.014629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24.752.035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24.515.059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1.296.898.292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0.000183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26.914.859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24.752.035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1.416.758.840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0.001527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BBTN</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1.488.383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1.522.724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171.807.592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(0.000200)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1.553.401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1.488.383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214.168.479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0.000304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4.659.379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1.553.401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261.365.267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0.011884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4.837.319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4.659.379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306.436.194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0.000581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5.017.694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4.837.319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311.776.828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0.000579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BBYB</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110.890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16.898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23.017.667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0.004083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159.759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110.890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28.314.175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0.001726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65.404.467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159.759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5.004.795.018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0.013036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71.537.971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65.404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4.533.729.146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0.015765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83.206.069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71.537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5.123.734.649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0.016225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BCIC</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204.651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213.296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13.183.503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(0.000656)</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160.070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204.651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16.065.303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(0.002775)</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220.045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160.070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17.171.181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0.003493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223.484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220.045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17.823.669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0.000193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194.079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223.484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17.311.597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(0.001699)</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BDMN</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2.559.144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2.383.993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188.057.412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0.000931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2.559.144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2.559.144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174.086.730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2.505.583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2.559.144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178.257.092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(0.000300)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2.287.700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2.505.583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186.762.189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(0.001167)</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1.902.608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2.287.700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193.533.970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(0.001990)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BEKS</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126.164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176.035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5.967.186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(0.008358)</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74.010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126.164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5.251.398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(0.009931)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47.302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74.010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7.658.924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(0.003487)</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60.204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47.302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9.482.130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0.001361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77.068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60.204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8.097.328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0.002083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BINA</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1.772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2.081.523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(0.000361)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3.143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2.359.089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0.000899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4.123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3.143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3.123.346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0.000314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14.088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4.123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3.854.174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0.002586 </w:t>
            </w:r>
          </w:p>
        </w:tc>
      </w:tr>
      <w:tr>
        <w:tblPrEx>
          <w:tblCellMar>
            <w:top w:w="0" w:type="dxa"/>
            <w:left w:w="108" w:type="dxa"/>
            <w:bottom w:w="0" w:type="dxa"/>
            <w:right w:w="108" w:type="dxa"/>
          </w:tblCellMar>
        </w:tblPrEx>
        <w:trPr>
          <w:gridBefore w:val="1"/>
          <w:wBefore w:w="31" w:type="dxa"/>
          <w:trHeight w:val="77"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18.741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14.088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5.262.429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0.000884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BJBR</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1.044.844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1.044.844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88.697.430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1.023.314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1.044.844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102.318.457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(0.000210)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2.740.397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1.023.314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114.980.168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0.014934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2.925.337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2.740.397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120.191.387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0.001539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3.271.751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2.925.337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123.536.474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0.002804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BJTM</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321.201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262.528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42.803.631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0.001371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339.148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321.201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43.032.950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0.000417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857.420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339.148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51.518.681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0.010060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943.613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857.420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62.689.118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0.001375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972.057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943.613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76.715.290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0.000371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BKSW</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114.631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111.225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25.757.649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0.000132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110.577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114.631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24.372.702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(0.000166)</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114.762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110.577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24.635.233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0.000170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151.526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114.762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20.486.926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0.001795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119.656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151.526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23.021.785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(0.001384)</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BMAS</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90.037.402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69.861.285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5.343.936.388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0.003776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279.772.096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90.037.402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5.481.518.940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0.034614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271.967.351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279.772.096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6.054.845.282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(0.001289)</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444.086.784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271.967.351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6.694.023.677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0.025712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439.337.143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444.086.784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7.569.580.138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(0.000627)</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BMRI</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6.558.196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5.612.651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910.063.409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0.001039 </w:t>
            </w:r>
          </w:p>
        </w:tc>
      </w:tr>
      <w:tr>
        <w:tblPrEx>
          <w:tblCellMar>
            <w:top w:w="0" w:type="dxa"/>
            <w:left w:w="108" w:type="dxa"/>
            <w:bottom w:w="0" w:type="dxa"/>
            <w:right w:w="108" w:type="dxa"/>
          </w:tblCellMar>
        </w:tblPrEx>
        <w:trPr>
          <w:gridBefore w:val="1"/>
          <w:wBefore w:w="31" w:type="dxa"/>
          <w:trHeight w:val="521"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7.708.438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6.558.196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1.038.706.009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0.001107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9.073.630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7.708.438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1.124.700.847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0.001214 </w:t>
            </w:r>
          </w:p>
        </w:tc>
      </w:tr>
      <w:tr>
        <w:tblPrEx>
          <w:tblCellMar>
            <w:top w:w="0" w:type="dxa"/>
            <w:left w:w="108" w:type="dxa"/>
            <w:bottom w:w="0" w:type="dxa"/>
            <w:right w:w="108" w:type="dxa"/>
          </w:tblCellMar>
        </w:tblPrEx>
        <w:trPr>
          <w:gridBefore w:val="1"/>
          <w:wBefore w:w="31" w:type="dxa"/>
          <w:trHeight w:val="476"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10.372.622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9.073.630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1.202.252.094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0.001080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11.632.932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10.372.622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1.318.246.335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0.000956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BNBA</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133.680.326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133.122.041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6.567.266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0.085010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736.785.069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133.680.326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7.121.173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84.691770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733.483.876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736.785.069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7.014.677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(0.470612)</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733.895.775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733.483.876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7.297.273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0.056446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788.081.883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733.895.775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7.607.653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7.122579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BNGA</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1.797.570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1.787.220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238.849.252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0.000043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2.023.285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1.797.570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241.571.728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0.000934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5.269.347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2.023.285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266.305.445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0.012189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5.119.908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5.269.347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266.781.498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(0.000560)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5.453.282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5.119.908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274.467.227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0.001215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BNII</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1.177.156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1.108.495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157.619.013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0.000436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1.145.223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1.177.156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166.678.902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(0.000192)</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2.545.082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1.145.223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173.253.491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0.008080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2.631.348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2.545.082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177.532.858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0.000486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2.926.594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2.631.348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169.082.830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0.001746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BNLI</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1.129.397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1.149.572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182.689.351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(0.000110)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2.724.378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1.129.397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171.028.573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0.009326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2.554.424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2.724.378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148.328.370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(0.001146)</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2.460.534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2.554.424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152.892.866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(0.000614)</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2.552.305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2.460.534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161.451.259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0.000568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BSIM</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584.058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544.040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27.868.688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0.001436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1.035.570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584.058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31.192.626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0.014475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1.041.763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1.035.570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30.404.078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0.000204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1.138.582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1.041.763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30.748.742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0.003149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1.211.744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1.138.582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36.559.556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0.002001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BSWD</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19.810.075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20.100.511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6.087.482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(0.047710)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144.833.690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19.810.075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4.306.073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29.034253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141.921.449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144.833.690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4.487.328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(0.648992)</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126.258.728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141.921.449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3.896.760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(4.019422)</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125.754.140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126.258.728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4.007.412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(0.125914)</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BTPN</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729.723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755.104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81.039.663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(0.000313)</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876.223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729.723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91.371.387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0.001603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1.632.265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876.223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95.489.850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0.007918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1.660.120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1.632.265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101.919.301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0.000273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1.786.727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1.660.120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181.631.385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0.000697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BVIC</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227.702.215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230.697.665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23.250.685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(0.128833)</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567.677.865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227.702.215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25.999.981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13.075996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544.490.501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567.677.865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28.825.608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(0.804402)</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528.001.117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544.490.501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30.172.315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(0.546507)</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541.283.738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528.001.117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30.456.458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0.436118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DNAR</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112.316.387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8.204.734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2.073.669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50.206495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109.758.840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112.316.387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2.311.229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(1.106574)</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106.777.221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109.758.840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2.535.110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(1.176130)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107.767.951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106.777.221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2.534.266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0.390934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107.767.951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107.767.951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5.108.848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INPC</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701.884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712.468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25.119.249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(0.000421)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708.875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701.884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26.219.938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0.000267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2.099.631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708.875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27.727.008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0.050159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2.066.084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2.099.631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26.025.188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(0.001289)</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2.053.140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2.066.084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25.532.041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(0.000507)</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MAYA</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577.497.527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69.861.285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47.305.953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10.730917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754.370.082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577.497.527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53.789.122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3.288259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1.277.383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754.370.082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74.745.570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(10.075416)</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1.304.142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1.277.383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86.971.893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0.000308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1.479.816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1.304.142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93.408.831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0.001881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MCOR</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307.058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135.678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10.089.121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0.016987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297.466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307.058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12.257.391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(0.000783)</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504.308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297.466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15.788.738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0.013101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781.708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504.308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15.992.475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0.017346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683.878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781.708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18.893.684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(0.005178)</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MEGA</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1.830.322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1.891.934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68.225.170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(0.000903)</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5.768.873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1.830.322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70.531.682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0.055841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5.651.070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5.768.873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82.297.010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(0.001431)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5.495.990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5.651.070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83.761.946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(0.001851)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6.045.523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5.495.990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100.803.831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0.005452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NISP</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987.128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838.074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120.480.402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0.001237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1.076.606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987.128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138.196.341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0.000647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2.413.987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1.076.606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153.773.957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0.008697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2.446.459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2.413.987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173.582.894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0.000187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2.799.661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2.446.459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180.706.987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0.001955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NOBU</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29.358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14.377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6.703.377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0.002235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52.844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29.358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8.992.244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0.002612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65.051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52.844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11.018.481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0.001108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61.270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65.051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11.793.981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(0.000321)</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63.494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61.270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13.147.503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0.000169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PNBN</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2.501.839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1.380.100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183.120.540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0.006126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9.134.396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2.501.839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199.175.053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0.033300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9.851.752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9.134.396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213.541.797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0.003359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9.688.314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9.851.752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207.204.418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(0.000789)</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10.260.918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9.688.314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211.287.370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0.002710 </w:t>
            </w:r>
          </w:p>
        </w:tc>
      </w:tr>
      <w:tr>
        <w:tblPrEx>
          <w:tblCellMar>
            <w:top w:w="0" w:type="dxa"/>
            <w:left w:w="108" w:type="dxa"/>
            <w:bottom w:w="0" w:type="dxa"/>
            <w:right w:w="108" w:type="dxa"/>
          </w:tblCellMar>
        </w:tblPrEx>
        <w:trPr>
          <w:gridBefore w:val="1"/>
          <w:wBefore w:w="31" w:type="dxa"/>
          <w:trHeight w:val="332"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PNBS</w:t>
            </w: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29.860.367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28.526.460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7.134.234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0.186973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54.139.432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29.860.367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8.757.963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2.772227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84.132.090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54.139.432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8.629.275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3.475687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95.224.581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84.132.090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8.771.057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1.264670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89.050.545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95.224.581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11.135.824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(0.554430)</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SDRA</w:t>
            </w: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312.719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41.869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20.019.523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0.013529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326.607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312.719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22.630.634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0.000614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89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355.551 </w:t>
            </w:r>
          </w:p>
        </w:tc>
        <w:tc>
          <w:tcPr>
            <w:tcW w:w="1830"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326.607 </w:t>
            </w:r>
          </w:p>
        </w:tc>
        <w:tc>
          <w:tcPr>
            <w:tcW w:w="1596"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27.086.504 </w:t>
            </w:r>
          </w:p>
        </w:tc>
        <w:tc>
          <w:tcPr>
            <w:tcW w:w="1860"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0.001069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89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366.474 </w:t>
            </w:r>
          </w:p>
        </w:tc>
        <w:tc>
          <w:tcPr>
            <w:tcW w:w="1830"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355.551 </w:t>
            </w:r>
          </w:p>
        </w:tc>
        <w:tc>
          <w:tcPr>
            <w:tcW w:w="1596"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29.631.693 </w:t>
            </w:r>
          </w:p>
        </w:tc>
        <w:tc>
          <w:tcPr>
            <w:tcW w:w="1860"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0.000369 </w:t>
            </w:r>
          </w:p>
        </w:tc>
      </w:tr>
      <w:tr>
        <w:tblPrEx>
          <w:tblCellMar>
            <w:top w:w="0" w:type="dxa"/>
            <w:left w:w="108" w:type="dxa"/>
            <w:bottom w:w="0" w:type="dxa"/>
            <w:right w:w="108" w:type="dxa"/>
          </w:tblCellMar>
        </w:tblPrEx>
        <w:trPr>
          <w:gridBefore w:val="1"/>
          <w:wBefore w:w="31" w:type="dxa"/>
          <w:trHeight w:val="300" w:hRule="atLeast"/>
          <w:jc w:val="center"/>
        </w:trPr>
        <w:tc>
          <w:tcPr>
            <w:tcW w:w="2003"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170"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890"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355.058 </w:t>
            </w:r>
          </w:p>
        </w:tc>
        <w:tc>
          <w:tcPr>
            <w:tcW w:w="1830"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366.474 </w:t>
            </w:r>
          </w:p>
        </w:tc>
        <w:tc>
          <w:tcPr>
            <w:tcW w:w="1596"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36.936.262 </w:t>
            </w:r>
          </w:p>
        </w:tc>
        <w:tc>
          <w:tcPr>
            <w:tcW w:w="1860" w:type="dxa"/>
            <w:tcBorders>
              <w:top w:val="nil"/>
              <w:left w:val="nil"/>
              <w:bottom w:val="nil"/>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(0.000309)</w:t>
            </w:r>
          </w:p>
        </w:tc>
      </w:tr>
    </w:tbl>
    <w:p>
      <w:pPr>
        <w:ind w:firstLine="720"/>
        <w:jc w:val="center"/>
        <w:rPr>
          <w:rFonts w:ascii="Times New Roman" w:hAnsi="Times New Roman" w:cs="Times New Roman"/>
          <w:sz w:val="24"/>
          <w:szCs w:val="24"/>
        </w:rPr>
      </w:pPr>
    </w:p>
    <w:p>
      <w:pPr>
        <w:ind w:firstLine="720"/>
        <w:jc w:val="center"/>
      </w:pPr>
    </w:p>
    <w:p>
      <w:pPr>
        <w:spacing w:line="240" w:lineRule="auto"/>
        <w:ind w:firstLine="0"/>
        <w:jc w:val="left"/>
      </w:pPr>
    </w:p>
    <w:p>
      <w:pPr>
        <w:spacing w:line="240" w:lineRule="auto"/>
        <w:ind w:firstLine="0"/>
        <w:jc w:val="left"/>
      </w:pPr>
    </w:p>
    <w:p>
      <w:pPr>
        <w:spacing w:line="240" w:lineRule="auto"/>
        <w:ind w:firstLine="0"/>
        <w:jc w:val="left"/>
      </w:pPr>
      <w:r>
        <w:br w:type="page"/>
      </w:r>
    </w:p>
    <w:p>
      <w:pPr>
        <w:ind w:firstLine="720"/>
        <w:jc w:val="center"/>
        <w:rPr>
          <w:rFonts w:ascii="Times New Roman" w:hAnsi="Times New Roman" w:cs="Times New Roman"/>
          <w:b/>
          <w:sz w:val="28"/>
          <w:szCs w:val="28"/>
        </w:rPr>
      </w:pPr>
      <w:r>
        <w:rPr>
          <w:rFonts w:ascii="Times New Roman" w:hAnsi="Times New Roman" w:cs="Times New Roman"/>
          <w:b/>
          <w:sz w:val="28"/>
          <w:szCs w:val="28"/>
        </w:rPr>
        <w:t>LAMPIRAN 5</w:t>
      </w:r>
    </w:p>
    <w:p>
      <w:pPr>
        <w:ind w:firstLine="720"/>
        <w:jc w:val="center"/>
        <w:rPr>
          <w:rFonts w:ascii="Times New Roman" w:hAnsi="Times New Roman" w:cs="Times New Roman"/>
          <w:sz w:val="24"/>
          <w:szCs w:val="24"/>
        </w:rPr>
      </w:pPr>
      <w:r>
        <w:rPr>
          <w:rFonts w:ascii="Times New Roman" w:hAnsi="Times New Roman" w:cs="Times New Roman"/>
          <w:b/>
          <w:sz w:val="24"/>
          <w:szCs w:val="24"/>
        </w:rPr>
        <w:t>Perhitungan Corrpote Social Responbility Pada Sub Sektor Perbankan Yang Terdaftar Di Bursa Efek Indonesia (Periode 2015-2019</w:t>
      </w:r>
      <w:r>
        <w:rPr>
          <w:rFonts w:ascii="Times New Roman" w:hAnsi="Times New Roman" w:cs="Times New Roman"/>
          <w:sz w:val="24"/>
          <w:szCs w:val="24"/>
        </w:rPr>
        <w:t>)</w:t>
      </w:r>
    </w:p>
    <w:p>
      <w:pPr>
        <w:ind w:firstLine="720"/>
        <w:jc w:val="center"/>
        <w:rPr>
          <w:b/>
        </w:rPr>
      </w:pPr>
      <w:r>
        <w:rPr>
          <w:rFonts w:ascii="Times New Roman" w:hAnsi="Times New Roman" w:cs="Times New Roman"/>
          <w:b/>
          <w:sz w:val="24"/>
          <w:szCs w:val="24"/>
        </w:rPr>
        <w:t>(Agka dinyatakan dalam jutaan rupiah)</w:t>
      </w:r>
    </w:p>
    <w:p>
      <w:pPr>
        <w:spacing w:line="240" w:lineRule="auto"/>
        <w:ind w:firstLine="0"/>
        <w:jc w:val="left"/>
      </w:pPr>
    </w:p>
    <w:tbl>
      <w:tblPr>
        <w:tblStyle w:val="6"/>
        <w:tblW w:w="8400" w:type="dxa"/>
        <w:tblInd w:w="0" w:type="dxa"/>
        <w:tblLayout w:type="autofit"/>
        <w:tblCellMar>
          <w:top w:w="0" w:type="dxa"/>
          <w:left w:w="108" w:type="dxa"/>
          <w:bottom w:w="0" w:type="dxa"/>
          <w:right w:w="108" w:type="dxa"/>
        </w:tblCellMar>
      </w:tblPr>
      <w:tblGrid>
        <w:gridCol w:w="1300"/>
        <w:gridCol w:w="1900"/>
        <w:gridCol w:w="1300"/>
        <w:gridCol w:w="1300"/>
        <w:gridCol w:w="1300"/>
        <w:gridCol w:w="1300"/>
      </w:tblGrid>
      <w:tr>
        <w:tblPrEx>
          <w:tblCellMar>
            <w:top w:w="0" w:type="dxa"/>
            <w:left w:w="108" w:type="dxa"/>
            <w:bottom w:w="0" w:type="dxa"/>
            <w:right w:w="108" w:type="dxa"/>
          </w:tblCellMar>
        </w:tblPrEx>
        <w:trPr>
          <w:trHeight w:val="315" w:hRule="atLeast"/>
        </w:trPr>
        <w:tc>
          <w:tcPr>
            <w:tcW w:w="130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N0</w:t>
            </w:r>
          </w:p>
        </w:tc>
        <w:tc>
          <w:tcPr>
            <w:tcW w:w="190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KODE PERUSAHAAN</w:t>
            </w:r>
          </w:p>
        </w:tc>
        <w:tc>
          <w:tcPr>
            <w:tcW w:w="130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TAHUN</w:t>
            </w:r>
          </w:p>
        </w:tc>
        <w:tc>
          <w:tcPr>
            <w:tcW w:w="130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ITEM</w:t>
            </w:r>
          </w:p>
        </w:tc>
        <w:tc>
          <w:tcPr>
            <w:tcW w:w="130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INDEKS GRI</w:t>
            </w:r>
          </w:p>
        </w:tc>
        <w:tc>
          <w:tcPr>
            <w:tcW w:w="1300" w:type="dxa"/>
            <w:tcBorders>
              <w:top w:val="nil"/>
              <w:left w:val="nil"/>
              <w:bottom w:val="single" w:color="FFFFFF" w:sz="12" w:space="0"/>
              <w:right w:val="nil"/>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CSR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AGRO </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AGRS</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BABP</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BACA</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BBCA</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BBHI</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BBKP</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BBMD</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BBNI</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BBRI</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BBTN</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BBYB</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BCIC</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BDMN</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BEKS</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16</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BINA</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BJBR</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BJTM</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19</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BKSW</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BMAS</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BMRI</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.897.436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.897.436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.897.436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.897.436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.897.436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22</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BNBA</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BNGA</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.833.333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.833.333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.833.333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.833.333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.833.333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BNII</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1.025.641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BNLI</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BSIM</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.128.205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BSWD</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BTPN</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.512.821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29</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BVIC</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.448.718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DNAR</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.576.923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31</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INPC</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MAYA</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.641.026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.641.026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.641.026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.641.026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.641.026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MCOR</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.192.308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34</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MEGA</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NISP</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.705.128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.705.128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.705.128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.705.128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.705.128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NOBU</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.064.103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PNBN</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.320.513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38</w:t>
            </w: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PNBS</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.384.615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39</w:t>
            </w: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SDRA </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r>
        <w:tblPrEx>
          <w:tblCellMar>
            <w:top w:w="0" w:type="dxa"/>
            <w:left w:w="108" w:type="dxa"/>
            <w:bottom w:w="0" w:type="dxa"/>
            <w:right w:w="108" w:type="dxa"/>
          </w:tblCellMar>
        </w:tblPrEx>
        <w:trPr>
          <w:trHeight w:val="315" w:hRule="atLeast"/>
        </w:trPr>
        <w:tc>
          <w:tcPr>
            <w:tcW w:w="130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90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p>
        </w:tc>
        <w:tc>
          <w:tcPr>
            <w:tcW w:w="130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30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30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78</w:t>
            </w:r>
          </w:p>
        </w:tc>
        <w:tc>
          <w:tcPr>
            <w:tcW w:w="1300" w:type="dxa"/>
            <w:tcBorders>
              <w:top w:val="nil"/>
              <w:left w:val="nil"/>
              <w:bottom w:val="nil"/>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.256.410 </w:t>
            </w:r>
          </w:p>
        </w:tc>
      </w:tr>
    </w:tbl>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r>
        <w:br w:type="page"/>
      </w:r>
    </w:p>
    <w:p>
      <w:pPr>
        <w:ind w:firstLine="720"/>
        <w:jc w:val="center"/>
        <w:rPr>
          <w:rFonts w:ascii="Times New Roman" w:hAnsi="Times New Roman" w:cs="Times New Roman"/>
          <w:b/>
          <w:sz w:val="28"/>
          <w:szCs w:val="28"/>
        </w:rPr>
      </w:pPr>
      <w:r>
        <w:rPr>
          <w:rFonts w:ascii="Times New Roman" w:hAnsi="Times New Roman" w:cs="Times New Roman"/>
          <w:b/>
          <w:sz w:val="28"/>
          <w:szCs w:val="28"/>
        </w:rPr>
        <w:t>LAMPIRAN 6</w:t>
      </w:r>
    </w:p>
    <w:p>
      <w:pPr>
        <w:ind w:firstLine="720"/>
        <w:jc w:val="center"/>
        <w:rPr>
          <w:rFonts w:ascii="Times New Roman" w:hAnsi="Times New Roman" w:cs="Times New Roman"/>
          <w:sz w:val="24"/>
          <w:szCs w:val="24"/>
        </w:rPr>
      </w:pPr>
      <w:r>
        <w:rPr>
          <w:rFonts w:ascii="Times New Roman" w:hAnsi="Times New Roman" w:cs="Times New Roman"/>
          <w:b/>
          <w:sz w:val="24"/>
          <w:szCs w:val="24"/>
        </w:rPr>
        <w:t>Perhitungan Risiko Bisnis Pada Sub Sektor Perbankan Yang Terdaftar Di Bursa Efek Indonesia (Periode 2015-2019</w:t>
      </w:r>
      <w:r>
        <w:rPr>
          <w:rFonts w:ascii="Times New Roman" w:hAnsi="Times New Roman" w:cs="Times New Roman"/>
          <w:sz w:val="24"/>
          <w:szCs w:val="24"/>
        </w:rPr>
        <w:t>)</w:t>
      </w:r>
    </w:p>
    <w:p>
      <w:pPr>
        <w:ind w:firstLine="720"/>
        <w:jc w:val="center"/>
        <w:rPr>
          <w:b/>
        </w:rPr>
      </w:pPr>
      <w:r>
        <w:rPr>
          <w:rFonts w:ascii="Times New Roman" w:hAnsi="Times New Roman" w:cs="Times New Roman"/>
          <w:b/>
          <w:sz w:val="24"/>
          <w:szCs w:val="24"/>
        </w:rPr>
        <w:t>(Agka dinyatakan dalam jutaan rupiah)</w:t>
      </w:r>
    </w:p>
    <w:tbl>
      <w:tblPr>
        <w:tblStyle w:val="6"/>
        <w:tblW w:w="8602" w:type="dxa"/>
        <w:jc w:val="center"/>
        <w:tblLayout w:type="autofit"/>
        <w:tblCellMar>
          <w:top w:w="0" w:type="dxa"/>
          <w:left w:w="108" w:type="dxa"/>
          <w:bottom w:w="0" w:type="dxa"/>
          <w:right w:w="108" w:type="dxa"/>
        </w:tblCellMar>
      </w:tblPr>
      <w:tblGrid>
        <w:gridCol w:w="521"/>
        <w:gridCol w:w="1605"/>
        <w:gridCol w:w="1468"/>
        <w:gridCol w:w="1572"/>
        <w:gridCol w:w="2188"/>
        <w:gridCol w:w="2766"/>
      </w:tblGrid>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NO</w:t>
            </w:r>
          </w:p>
        </w:tc>
        <w:tc>
          <w:tcPr>
            <w:tcW w:w="1251"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KODE PERUSAHAAN</w:t>
            </w:r>
          </w:p>
        </w:tc>
        <w:tc>
          <w:tcPr>
            <w:tcW w:w="1468"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TAHUN</w:t>
            </w:r>
          </w:p>
        </w:tc>
        <w:tc>
          <w:tcPr>
            <w:tcW w:w="1572"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EBIT </w:t>
            </w:r>
          </w:p>
        </w:tc>
        <w:tc>
          <w:tcPr>
            <w:tcW w:w="2188" w:type="dxa"/>
            <w:tcBorders>
              <w:top w:val="nil"/>
              <w:left w:val="nil"/>
              <w:bottom w:val="single" w:color="FFFFFF" w:sz="12" w:space="0"/>
              <w:right w:val="single" w:color="FFFFFF" w:sz="4" w:space="0"/>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TOTAL AKTIVA </w:t>
            </w:r>
          </w:p>
        </w:tc>
        <w:tc>
          <w:tcPr>
            <w:tcW w:w="1602" w:type="dxa"/>
            <w:tcBorders>
              <w:top w:val="nil"/>
              <w:left w:val="nil"/>
              <w:bottom w:val="single" w:color="FFFFFF" w:sz="12" w:space="0"/>
              <w:right w:val="nil"/>
            </w:tcBorders>
            <w:shd w:val="clear" w:color="4F81BD" w:fill="4F81BD"/>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20"/>
                <w:szCs w:val="20"/>
              </w:rPr>
            </w:pPr>
            <w:r>
              <w:rPr>
                <w:rFonts w:hint="eastAsia" w:ascii="Times New Roman" w:hAnsi="Times New Roman" w:eastAsia="Times New Roman" w:cs="Times New Roman"/>
                <w:b/>
                <w:bCs/>
                <w:color w:val="FFFFFF"/>
                <w:sz w:val="20"/>
                <w:szCs w:val="20"/>
              </w:rPr>
              <w:t xml:space="preserve"> BRISK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AGRO</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95.694.134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8.364.502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11.440.506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128.506.823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11.377.960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11.294.364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181.665.916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16.322.593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11.129.722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291.694.144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23.313.671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12.511.721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71.492.585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27.067.922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2.641.229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AGRS</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23.104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4.217.368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.005.478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34.269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4.418.634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.007.756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(7.319)</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3.892.516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(.001.880)</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(67.474)</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4.151.151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(.016.254)</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(281.127)</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6.421.844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(.043.777)</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BABP</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10.947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12.137.004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.000.902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52.758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13.057.549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.004.040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(917.000)</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10.706.094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(.085.652)</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80.197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10.854.855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.007.388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63.781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10.607.879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.006.013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4</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BACA</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123.359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12.159.197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.010.145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133.283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14.207.414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.009.381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123.332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16.349.473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.007.543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157.538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18.019.614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.008.743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32.752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18.959.522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.001.727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5</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BBCA</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18.035.768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59.437.277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.303.442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20.632.281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676.738.753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.030.488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23.321.150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750.319.671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.031.082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25.851.660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824.787.944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.031.343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28.569.974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918.989.312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.031.088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6</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BBHI</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61.538.066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2.079.034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29.599.355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8.211.600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2.058.463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3.989.190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14.125.524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2.458.823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5.744.832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(117.142.081)</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2.264.172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(51.737.271)</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(48.867.531)</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2.527.173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(19.336.836)</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7</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BBKP</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1.172.663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94.366.502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.012.427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1.389.576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105.406.002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.013.183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121.583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106.442.999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.001.142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144.887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95.643.923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.001.515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95.698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100.264.248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.000.954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8</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BBMD</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327.103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9.409.596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.034.763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239.185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10.587.950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.022.590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353.016.706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11.817.844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29.871.498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359.886.251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12.093.079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29.759.687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331.700.616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12.900.218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25.712.792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9</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BBNI</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11.412.081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508.595.288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.022.438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14.229.332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709.330.084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.020.060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17.222.663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808.572.011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.021.300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19.599.399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808.572.011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.024.240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19.486.623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845.605.208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.023.045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10</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BBRI</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31.959.350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878.426.312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.036.383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33.964.542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1.003.644.426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.033.841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41.725.877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1.126.248.442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.037.049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41.725.877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1.296.898.292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.032.174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43.431.933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1.416.758.840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.030.656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11</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BBTN</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2.533.605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171.807.592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.014.747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3.352.232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214.168.479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.015.652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3.891.903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261.365.267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.014.891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3.593.800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306.436.194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.011.728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521.773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311.776.828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.001.674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12</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BBYB</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287.599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23.017.667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.012.495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367.661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28.314.175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.012.985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19.308.069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5.004.795.018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.003.858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(138.528.883)</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4.533.729.146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(.030.555)</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19.732.680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5.123.734.649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.003.851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13</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BCIC</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(647.338)</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13.183.503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(.049.102)</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(470.640)</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16.065.303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(.029.295)</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112.985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17.171.181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.006.580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(305.175)</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17.823.669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(.017.122)</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11.558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17.311.597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.000.668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14</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BDMN</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3.819.374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188.057.412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.020.310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4.934.212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174.086.730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.028.343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5.110.441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178.257.092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.028.669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5.158.037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186.762.189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.027.618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3.273.520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193.533.970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.016.914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15</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BEKS</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467.061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5.967.186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.078.272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137.305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5.251.398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.026.146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243.641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7.658.924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.031.811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165.115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9.482.130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.017.413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129.347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8.097.328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.015.974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16</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BINA</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2.081.523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.001.869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6.202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2.359.089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.002.629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8.689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3.123.346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.002.782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8.549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3.854.174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.002.218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20.162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5.262.429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.003.831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17</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BJBR</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1.811.298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88.697.430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.020.421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1.520.309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102.318.457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.014.859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1.700.639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114.980.168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.014.791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2.058.397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120.191.387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.017.126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2.059.493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123.536.474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.016.671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18</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BJTM</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1.196.899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42.803.631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.027.963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1.451.582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43.032.950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.033.732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1.642.807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51.518.681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.031.888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1.705.921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62.689.118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.027.212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1.796.579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76.715.290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.023.419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19</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BKSW</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205.273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25.757.649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.007.969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(862.611)</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24.372.702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(.035.393)</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515.046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24.635.233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.020.907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1.872.454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20.486.926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.091.398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176.603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23.021.785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.007.671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BMAS</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55.977.904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5.343.936.388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.010.475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91.578.811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5.481.518.940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.016.707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91.751.458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6.054.845.282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.015.153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69.971.028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6.694.023.677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.010.453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83.267.006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7.569.580.138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.011.000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21</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BMRI</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26.338.972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910.063.409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.028.942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18.612.727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1.038.706.009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.017.919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27.169.751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1.124.700.847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.024.157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33.905.797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1.202.252.094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.028.202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36.451.514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1.318.246.335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.027.652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22</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BNBA</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80.653.766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6.567.266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12.281.178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105.496.136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7.121.173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14.814.432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120.963.317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7.014.677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17.244.317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125.987.041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7.297.273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17.264.948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70.833.761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7.607.653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9.310.856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23</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BNGA</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691.663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238.849.252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.002.896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2.753.594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241.571.728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.011.399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4.106.571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266.305.445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.015.421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4.794.343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266.781.498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.017.971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4.933.747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274.467.227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.017.976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24</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BNII</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1.556.729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157.619.013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.009.877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2.585.183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166.678.902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.015.510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2.504.221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173.253.491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.014.454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3.032.936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177.532.858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.017.084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2.576.866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169.082.830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.015.240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25</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BNLI</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6.191.162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182.689.351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.033.889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8.152.220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171.028.573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.047.666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8.580.185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148.328.370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.057.846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7.361.481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152.892.866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.048.148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7.834.473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161.451.259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.048.525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26</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BSIM</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1.791.181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27.868.688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.064.272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2.425.163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31.192.626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.077.748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2.465.070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30.404.078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.081.077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2.830.349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30.748.742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.092.048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4.236.783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36.559.556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.115.887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27</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BSWD</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45.744.731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6.087.482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7.514.557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573.993.219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4.306.073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133.298.534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44.728.321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4.487.328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9.967.696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15.318.491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3.896.760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3.931.084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19.431.568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4.007.412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4.848.907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28</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BTPN</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24.597.070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81.039.663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.303.519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2.609.716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91.371.387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.028.562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1.978.426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95.489.850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.020.719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3.078.341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101.919.301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.030.204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4.032.519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181.631.385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.022.202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29</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BVIC</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76.839.182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23.250.685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3.304.814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85.261.861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25.999.981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3.279.305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138.080.301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28.825.608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4.790.196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97.168.243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30.172.315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3.220.444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(17.053.600)</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30.456.458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(.559.934)</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30</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DNAR</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15.973.834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2.073.669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7.703.174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17.550.250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2.311.229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7.593.471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11.851.646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2.535.110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4.675.003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8.078.948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2.534.266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3.187.885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(9.101.845)</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5.108.848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(1.781.585)</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31</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INPC</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92.909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25.119.249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.003.699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101.101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26.219.938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.003.856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102.677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27.727.008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.003.703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86.114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26.025.188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.003.309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(72.015)</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25.532.041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(.002.821)</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32</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MAYA</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627.194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47.305.953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.013.258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811.571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53.789.122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.015.088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902.627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74.745.570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.012.076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600.236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86.971.893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.006.901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714.070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93.408.831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.007.645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33</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MCOR</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91.985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10.089.121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.009.117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75.896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12.257.391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.006.192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73.653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15.788.738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.004.665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128.567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15.992.475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.008.039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114.448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18.893.684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.006.057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34</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MEGA</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1.178.899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68.225.170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.017.280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1.470.563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70.531.682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.020.850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1.604.085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82.297.010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.019.491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1.952.933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83.761.946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.023.315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2.549.112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100.803.831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.025.288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35</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NISP</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2.000.887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120.480.402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.016.608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2.342.461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138.196.341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.016.950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2.877.527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153.773.957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.018.713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3.486.447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173.582.894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.020.085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3.887.741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180.706.987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.021.514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36</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NOBU</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22.487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6.703.377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.003.355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38.917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8.992.244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.004.328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45.653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11.018.481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.004.143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43.715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11.793.981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.003.707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26.077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13.147.503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.001.983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37</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PNBN</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2.425.496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183.120.540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.013.245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3.207.163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199.175.053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.016.102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2.898.771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213.541.797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.013.575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4.375.093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207.204.418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.021.115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4.416.192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211.287.370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.020.901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38</w:t>
            </w: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PNBS</w:t>
            </w: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77.926.610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7.134.234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10.922.912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27.495.027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8.757.963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3.139.432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(962.121.876)</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8.629.275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(111.495.100)</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4.082.879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8.771.057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.465.495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single" w:color="FFFFFF" w:sz="4" w:space="0"/>
              <w:left w:val="single" w:color="FFFFFF" w:sz="4" w:space="0"/>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18.850.506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11.135.824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1.692.781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39</w:t>
            </w: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SDRA</w:t>
            </w: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2015</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365.455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20.019.523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.018.255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2016</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413.901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22.630.634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.018.289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2017</w:t>
            </w:r>
          </w:p>
        </w:tc>
        <w:tc>
          <w:tcPr>
            <w:tcW w:w="1572"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588.178 </w:t>
            </w:r>
          </w:p>
        </w:tc>
        <w:tc>
          <w:tcPr>
            <w:tcW w:w="2188" w:type="dxa"/>
            <w:tcBorders>
              <w:top w:val="nil"/>
              <w:left w:val="nil"/>
              <w:bottom w:val="single" w:color="FFFFFF" w:sz="4" w:space="0"/>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27.086.504 </w:t>
            </w:r>
          </w:p>
        </w:tc>
        <w:tc>
          <w:tcPr>
            <w:tcW w:w="1602" w:type="dxa"/>
            <w:tcBorders>
              <w:top w:val="nil"/>
              <w:left w:val="nil"/>
              <w:bottom w:val="single" w:color="FFFFFF" w:sz="4" w:space="0"/>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.021.715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2018</w:t>
            </w:r>
          </w:p>
        </w:tc>
        <w:tc>
          <w:tcPr>
            <w:tcW w:w="1572"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729.736 </w:t>
            </w:r>
          </w:p>
        </w:tc>
        <w:tc>
          <w:tcPr>
            <w:tcW w:w="2188" w:type="dxa"/>
            <w:tcBorders>
              <w:top w:val="nil"/>
              <w:left w:val="nil"/>
              <w:bottom w:val="single" w:color="FFFFFF" w:sz="4" w:space="0"/>
              <w:right w:val="single" w:color="FFFFFF" w:sz="4" w:space="0"/>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29.631.693 </w:t>
            </w:r>
          </w:p>
        </w:tc>
        <w:tc>
          <w:tcPr>
            <w:tcW w:w="1602" w:type="dxa"/>
            <w:tcBorders>
              <w:top w:val="nil"/>
              <w:left w:val="nil"/>
              <w:bottom w:val="single" w:color="FFFFFF" w:sz="4" w:space="0"/>
              <w:right w:val="nil"/>
            </w:tcBorders>
            <w:shd w:val="clear" w:color="DBE5F1" w:fill="DBE5F1"/>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.024.627 </w:t>
            </w:r>
          </w:p>
        </w:tc>
      </w:tr>
      <w:tr>
        <w:tblPrEx>
          <w:tblCellMar>
            <w:top w:w="0" w:type="dxa"/>
            <w:left w:w="108" w:type="dxa"/>
            <w:bottom w:w="0" w:type="dxa"/>
            <w:right w:w="108" w:type="dxa"/>
          </w:tblCellMar>
        </w:tblPrEx>
        <w:trPr>
          <w:trHeight w:val="300" w:hRule="atLeast"/>
          <w:jc w:val="center"/>
        </w:trPr>
        <w:tc>
          <w:tcPr>
            <w:tcW w:w="521"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251"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p>
        </w:tc>
        <w:tc>
          <w:tcPr>
            <w:tcW w:w="1468"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2019</w:t>
            </w:r>
          </w:p>
        </w:tc>
        <w:tc>
          <w:tcPr>
            <w:tcW w:w="1572"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572.586 </w:t>
            </w:r>
          </w:p>
        </w:tc>
        <w:tc>
          <w:tcPr>
            <w:tcW w:w="2188" w:type="dxa"/>
            <w:tcBorders>
              <w:top w:val="nil"/>
              <w:left w:val="nil"/>
              <w:bottom w:val="nil"/>
              <w:right w:val="single" w:color="FFFFFF" w:sz="4" w:space="0"/>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36.936.262 </w:t>
            </w:r>
          </w:p>
        </w:tc>
        <w:tc>
          <w:tcPr>
            <w:tcW w:w="1602" w:type="dxa"/>
            <w:tcBorders>
              <w:top w:val="nil"/>
              <w:left w:val="nil"/>
              <w:bottom w:val="nil"/>
              <w:right w:val="nil"/>
            </w:tcBorders>
            <w:shd w:val="clear" w:color="B8CCE4" w:fill="B8CCE4"/>
            <w:noWrap/>
            <w:vAlign w:val="center"/>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color w:val="000000"/>
                <w:sz w:val="20"/>
                <w:szCs w:val="20"/>
              </w:rPr>
            </w:pPr>
            <w:r>
              <w:rPr>
                <w:rFonts w:hint="eastAsia" w:ascii="Times New Roman" w:hAnsi="Times New Roman" w:eastAsia="Times New Roman" w:cs="Times New Roman"/>
                <w:color w:val="000000"/>
                <w:sz w:val="20"/>
                <w:szCs w:val="20"/>
              </w:rPr>
              <w:t xml:space="preserve">                                     .015.502 </w:t>
            </w:r>
          </w:p>
        </w:tc>
      </w:tr>
    </w:tbl>
    <w:p>
      <w:pPr>
        <w:ind w:firstLine="720"/>
        <w:jc w:val="center"/>
        <w:rPr>
          <w:rFonts w:ascii="Times New Roman" w:hAnsi="Times New Roman" w:cs="Times New Roman"/>
          <w:sz w:val="24"/>
          <w:szCs w:val="24"/>
        </w:rPr>
      </w:pPr>
    </w:p>
    <w:p>
      <w:pPr>
        <w:spacing w:line="240" w:lineRule="auto"/>
        <w:ind w:firstLine="0"/>
        <w:jc w:val="left"/>
      </w:pPr>
    </w:p>
    <w:p>
      <w:pPr>
        <w:ind w:firstLine="720"/>
        <w:jc w:val="center"/>
        <w:rPr>
          <w:rFonts w:ascii="Times New Roman" w:hAnsi="Times New Roman" w:cs="Times New Roman"/>
          <w:b/>
          <w:sz w:val="28"/>
          <w:szCs w:val="28"/>
        </w:rPr>
      </w:pPr>
      <w:r>
        <w:br w:type="page"/>
      </w:r>
      <w:r>
        <w:rPr>
          <w:rFonts w:ascii="Times New Roman" w:hAnsi="Times New Roman" w:cs="Times New Roman"/>
          <w:b/>
          <w:sz w:val="28"/>
          <w:szCs w:val="28"/>
        </w:rPr>
        <w:t>LAMPIRAN 7</w:t>
      </w:r>
    </w:p>
    <w:p>
      <w:pPr>
        <w:ind w:firstLine="720"/>
        <w:jc w:val="center"/>
        <w:rPr>
          <w:rFonts w:ascii="Times New Roman" w:hAnsi="Times New Roman" w:cs="Times New Roman"/>
          <w:sz w:val="24"/>
          <w:szCs w:val="24"/>
        </w:rPr>
      </w:pPr>
      <w:r>
        <w:rPr>
          <w:rFonts w:ascii="Times New Roman" w:hAnsi="Times New Roman" w:cs="Times New Roman"/>
          <w:b/>
          <w:sz w:val="24"/>
          <w:szCs w:val="24"/>
        </w:rPr>
        <w:t>Perhitungan Nilai Perusahaan Pada Sub Sektor Perbankan Yang Terdaftar Di Bursa Efek Indonesia (Periode 2015-2019</w:t>
      </w:r>
      <w:r>
        <w:rPr>
          <w:rFonts w:ascii="Times New Roman" w:hAnsi="Times New Roman" w:cs="Times New Roman"/>
          <w:sz w:val="24"/>
          <w:szCs w:val="24"/>
        </w:rPr>
        <w:t>)</w:t>
      </w:r>
    </w:p>
    <w:p>
      <w:pPr>
        <w:ind w:firstLine="720"/>
        <w:jc w:val="center"/>
        <w:rPr>
          <w:b/>
        </w:rPr>
      </w:pPr>
      <w:r>
        <w:rPr>
          <w:rFonts w:ascii="Times New Roman" w:hAnsi="Times New Roman" w:cs="Times New Roman"/>
          <w:b/>
          <w:sz w:val="24"/>
          <w:szCs w:val="24"/>
        </w:rPr>
        <w:t>(Agka dinyatakan dalam rupiah)</w:t>
      </w:r>
    </w:p>
    <w:tbl>
      <w:tblPr>
        <w:tblStyle w:val="6"/>
        <w:tblW w:w="7380" w:type="dxa"/>
        <w:tblInd w:w="378" w:type="dxa"/>
        <w:tblLayout w:type="autofit"/>
        <w:tblCellMar>
          <w:top w:w="0" w:type="dxa"/>
          <w:left w:w="108" w:type="dxa"/>
          <w:bottom w:w="0" w:type="dxa"/>
          <w:right w:w="108" w:type="dxa"/>
        </w:tblCellMar>
      </w:tblPr>
      <w:tblGrid>
        <w:gridCol w:w="2913"/>
        <w:gridCol w:w="1560"/>
        <w:gridCol w:w="2907"/>
      </w:tblGrid>
      <w:tr>
        <w:tblPrEx>
          <w:tblCellMar>
            <w:top w:w="0" w:type="dxa"/>
            <w:left w:w="108" w:type="dxa"/>
            <w:bottom w:w="0" w:type="dxa"/>
            <w:right w:w="108" w:type="dxa"/>
          </w:tblCellMar>
        </w:tblPrEx>
        <w:trPr>
          <w:trHeight w:val="300" w:hRule="atLeast"/>
        </w:trPr>
        <w:tc>
          <w:tcPr>
            <w:tcW w:w="2913"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8"/>
                <w:szCs w:val="18"/>
              </w:rPr>
            </w:pPr>
            <w:r>
              <w:rPr>
                <w:rFonts w:hint="eastAsia" w:ascii="Times New Roman" w:hAnsi="Times New Roman" w:eastAsia="Times New Roman" w:cs="Times New Roman"/>
                <w:b/>
                <w:bCs/>
                <w:color w:val="FFFFFF"/>
                <w:sz w:val="18"/>
                <w:szCs w:val="18"/>
              </w:rPr>
              <w:t xml:space="preserve">KODE PERUSAHAAN </w:t>
            </w:r>
          </w:p>
        </w:tc>
        <w:tc>
          <w:tcPr>
            <w:tcW w:w="1560" w:type="dxa"/>
            <w:tcBorders>
              <w:top w:val="nil"/>
              <w:left w:val="nil"/>
              <w:bottom w:val="single" w:color="FFFFFF" w:sz="12" w:space="0"/>
              <w:right w:val="single" w:color="FFFFFF" w:sz="4" w:space="0"/>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sz w:val="18"/>
                <w:szCs w:val="18"/>
              </w:rPr>
            </w:pPr>
            <w:r>
              <w:rPr>
                <w:rFonts w:hint="eastAsia" w:ascii="Times New Roman" w:hAnsi="Times New Roman" w:eastAsia="Times New Roman" w:cs="Times New Roman"/>
                <w:b/>
                <w:bCs/>
                <w:color w:val="FFFFFF"/>
                <w:sz w:val="18"/>
                <w:szCs w:val="18"/>
              </w:rPr>
              <w:t xml:space="preserve"> TAHUN </w:t>
            </w:r>
          </w:p>
        </w:tc>
        <w:tc>
          <w:tcPr>
            <w:tcW w:w="2907" w:type="dxa"/>
            <w:tcBorders>
              <w:top w:val="nil"/>
              <w:left w:val="nil"/>
              <w:bottom w:val="single" w:color="FFFFFF" w:sz="12" w:space="0"/>
              <w:right w:val="nil"/>
            </w:tcBorders>
            <w:shd w:val="clear" w:color="4F81BD" w:fill="4F81BD"/>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FFFFFF"/>
                <w:sz w:val="18"/>
                <w:szCs w:val="18"/>
              </w:rPr>
            </w:pPr>
            <w:r>
              <w:rPr>
                <w:rFonts w:hint="eastAsia" w:ascii="Times New Roman" w:hAnsi="Times New Roman" w:eastAsia="Times New Roman" w:cs="Times New Roman"/>
                <w:b/>
                <w:bCs/>
                <w:color w:val="FFFFFF"/>
                <w:sz w:val="18"/>
                <w:szCs w:val="18"/>
              </w:rPr>
              <w:t>PBV</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AGRO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4.10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3.02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1.51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AGRS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2.25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3.77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BABP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BACA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BBCA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3.66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3.49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4.11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4.46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4.79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BBHI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BBKP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0.48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BBMD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2.82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2.25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BBNI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0.19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1.58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1.52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BBRI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2.49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2.68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2.57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2.54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BBTN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BBYB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2.66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3.01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2.62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BCIC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2.79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2.76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BDMN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2.12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BEKS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5.45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4.07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4.67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4.63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BINA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1.91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4.72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3.16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2.75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BJBR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3.41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2.30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1.96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BJTM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BKSW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BMAS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1.50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BMRI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2.20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1.95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BNBA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0.47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0.46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BNGA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BNII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BNLI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BSIM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2.86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BSWD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3.36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1.94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BTPN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BVIC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DNAR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INPC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0.30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0.28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0.28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0.22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0.28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MAYA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1.83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2.95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2.74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4.47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4.35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MCOR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1.10</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MEGA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1.98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1.44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1.78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2.68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2.62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NISP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1.24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NOBU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1.64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2.49</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3.08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3.18</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3.04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PNBN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0.64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0.54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PNBS </w:t>
            </w: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2.13</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1.01</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2.42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0.72</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0.87</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 xml:space="preserve"> SDRA  </w:t>
            </w: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2015</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1.35</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2016</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1.34</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2017</w:t>
            </w:r>
          </w:p>
        </w:tc>
        <w:tc>
          <w:tcPr>
            <w:tcW w:w="2907"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0.96</w:t>
            </w:r>
          </w:p>
        </w:tc>
      </w:tr>
      <w:tr>
        <w:tblPrEx>
          <w:tblCellMar>
            <w:top w:w="0" w:type="dxa"/>
            <w:left w:w="108" w:type="dxa"/>
            <w:bottom w:w="0" w:type="dxa"/>
            <w:right w:w="108" w:type="dxa"/>
          </w:tblCellMar>
        </w:tblPrEx>
        <w:trPr>
          <w:trHeight w:val="300" w:hRule="atLeast"/>
        </w:trPr>
        <w:tc>
          <w:tcPr>
            <w:tcW w:w="2913"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2018</w:t>
            </w:r>
          </w:p>
        </w:tc>
        <w:tc>
          <w:tcPr>
            <w:tcW w:w="2907"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0.88</w:t>
            </w:r>
          </w:p>
        </w:tc>
      </w:tr>
      <w:tr>
        <w:tblPrEx>
          <w:tblCellMar>
            <w:top w:w="0" w:type="dxa"/>
            <w:left w:w="108" w:type="dxa"/>
            <w:bottom w:w="0" w:type="dxa"/>
            <w:right w:w="108" w:type="dxa"/>
          </w:tblCellMar>
        </w:tblPrEx>
        <w:trPr>
          <w:trHeight w:val="300" w:hRule="atLeast"/>
        </w:trPr>
        <w:tc>
          <w:tcPr>
            <w:tcW w:w="2913"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p>
        </w:tc>
        <w:tc>
          <w:tcPr>
            <w:tcW w:w="156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2019</w:t>
            </w:r>
          </w:p>
        </w:tc>
        <w:tc>
          <w:tcPr>
            <w:tcW w:w="2907" w:type="dxa"/>
            <w:tcBorders>
              <w:top w:val="nil"/>
              <w:left w:val="nil"/>
              <w:bottom w:val="nil"/>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right"/>
              <w:rPr>
                <w:rFonts w:hint="eastAsia" w:ascii="Times New Roman" w:hAnsi="Times New Roman" w:eastAsia="Times New Roman" w:cs="Times New Roman"/>
                <w:color w:val="000000"/>
                <w:sz w:val="18"/>
                <w:szCs w:val="18"/>
              </w:rPr>
            </w:pPr>
            <w:r>
              <w:rPr>
                <w:rFonts w:hint="eastAsia" w:ascii="Times New Roman" w:hAnsi="Times New Roman" w:eastAsia="Times New Roman" w:cs="Times New Roman"/>
                <w:color w:val="000000"/>
                <w:sz w:val="18"/>
                <w:szCs w:val="18"/>
              </w:rPr>
              <w:t>0.87</w:t>
            </w:r>
          </w:p>
        </w:tc>
      </w:tr>
    </w:tbl>
    <w:p>
      <w:pPr>
        <w:ind w:firstLine="720"/>
        <w:rPr>
          <w:rFonts w:ascii="Times New Roman" w:hAnsi="Times New Roman" w:cs="Times New Roman"/>
          <w:sz w:val="24"/>
          <w:szCs w:val="24"/>
        </w:rPr>
      </w:pPr>
    </w:p>
    <w:p>
      <w:pPr>
        <w:spacing w:line="240" w:lineRule="auto"/>
        <w:ind w:firstLine="0"/>
        <w:jc w:val="left"/>
      </w:pPr>
    </w:p>
    <w:p>
      <w:pPr>
        <w:spacing w:line="240" w:lineRule="auto"/>
        <w:ind w:firstLine="0"/>
        <w:jc w:val="left"/>
      </w:pP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pPr>
        <w:ind w:firstLine="720"/>
        <w:jc w:val="center"/>
        <w:rPr>
          <w:rFonts w:ascii="Times New Roman" w:hAnsi="Times New Roman" w:cs="Times New Roman"/>
          <w:b/>
          <w:sz w:val="28"/>
          <w:szCs w:val="28"/>
        </w:rPr>
      </w:pPr>
      <w:r>
        <w:rPr>
          <w:rFonts w:ascii="Times New Roman" w:hAnsi="Times New Roman" w:cs="Times New Roman"/>
          <w:b/>
          <w:sz w:val="28"/>
          <w:szCs w:val="28"/>
        </w:rPr>
        <w:t>LAMPIRAN 8</w:t>
      </w:r>
    </w:p>
    <w:p>
      <w:pPr>
        <w:ind w:firstLine="720"/>
        <w:jc w:val="center"/>
        <w:rPr>
          <w:rFonts w:ascii="Times New Roman" w:hAnsi="Times New Roman" w:cs="Times New Roman"/>
          <w:b/>
          <w:sz w:val="24"/>
          <w:szCs w:val="24"/>
        </w:rPr>
      </w:pPr>
      <w:r>
        <w:rPr>
          <w:rFonts w:ascii="Times New Roman" w:hAnsi="Times New Roman" w:cs="Times New Roman"/>
          <w:b/>
          <w:sz w:val="24"/>
          <w:szCs w:val="24"/>
        </w:rPr>
        <w:t xml:space="preserve">TABEL data LN variabel X1,X2,X3,X4 dan Variabel Y </w:t>
      </w:r>
    </w:p>
    <w:tbl>
      <w:tblPr>
        <w:tblStyle w:val="6"/>
        <w:tblW w:w="7880" w:type="dxa"/>
        <w:tblInd w:w="93" w:type="dxa"/>
        <w:tblLayout w:type="autofit"/>
        <w:tblCellMar>
          <w:top w:w="0" w:type="dxa"/>
          <w:left w:w="108" w:type="dxa"/>
          <w:bottom w:w="0" w:type="dxa"/>
          <w:right w:w="108" w:type="dxa"/>
        </w:tblCellMar>
      </w:tblPr>
      <w:tblGrid>
        <w:gridCol w:w="1540"/>
        <w:gridCol w:w="1720"/>
        <w:gridCol w:w="1540"/>
        <w:gridCol w:w="1540"/>
        <w:gridCol w:w="1540"/>
      </w:tblGrid>
      <w:tr>
        <w:tblPrEx>
          <w:tblCellMar>
            <w:top w:w="0" w:type="dxa"/>
            <w:left w:w="108" w:type="dxa"/>
            <w:bottom w:w="0" w:type="dxa"/>
            <w:right w:w="108" w:type="dxa"/>
          </w:tblCellMar>
        </w:tblPrEx>
        <w:trPr>
          <w:trHeight w:val="300" w:hRule="atLeast"/>
        </w:trPr>
        <w:tc>
          <w:tcPr>
            <w:tcW w:w="1540" w:type="dxa"/>
            <w:tcBorders>
              <w:top w:val="nil"/>
              <w:left w:val="nil"/>
              <w:bottom w:val="single" w:color="FFFFFF" w:sz="12" w:space="0"/>
              <w:right w:val="single" w:color="FFFFFF" w:sz="4" w:space="0"/>
            </w:tcBorders>
            <w:shd w:val="clear" w:color="000000" w:fill="FFFF00"/>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highlight w:val="black"/>
              </w:rPr>
            </w:pPr>
            <w:r>
              <w:rPr>
                <w:rFonts w:hint="eastAsia" w:ascii="Times New Roman" w:hAnsi="Times New Roman" w:eastAsia="Times New Roman" w:cs="Times New Roman"/>
                <w:b/>
                <w:bCs/>
                <w:color w:val="FFFFFF"/>
                <w:highlight w:val="black"/>
              </w:rPr>
              <w:t xml:space="preserve">LNMBVE </w:t>
            </w:r>
          </w:p>
        </w:tc>
        <w:tc>
          <w:tcPr>
            <w:tcW w:w="1720" w:type="dxa"/>
            <w:tcBorders>
              <w:top w:val="nil"/>
              <w:left w:val="nil"/>
              <w:bottom w:val="single" w:color="FFFFFF" w:sz="12" w:space="0"/>
              <w:right w:val="single" w:color="FFFFFF" w:sz="4" w:space="0"/>
            </w:tcBorders>
            <w:shd w:val="clear" w:color="000000" w:fill="FFFF00"/>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highlight w:val="black"/>
              </w:rPr>
            </w:pPr>
            <w:r>
              <w:rPr>
                <w:rFonts w:hint="eastAsia" w:ascii="Times New Roman" w:hAnsi="Times New Roman" w:eastAsia="Times New Roman" w:cs="Times New Roman"/>
                <w:b/>
                <w:bCs/>
                <w:color w:val="FFFFFF"/>
                <w:highlight w:val="black"/>
              </w:rPr>
              <w:t xml:space="preserve"> LNCAPBVA </w:t>
            </w:r>
          </w:p>
        </w:tc>
        <w:tc>
          <w:tcPr>
            <w:tcW w:w="1540" w:type="dxa"/>
            <w:tcBorders>
              <w:top w:val="nil"/>
              <w:left w:val="nil"/>
              <w:bottom w:val="single" w:color="FFFFFF" w:sz="12" w:space="0"/>
              <w:right w:val="single" w:color="FFFFFF" w:sz="4" w:space="0"/>
            </w:tcBorders>
            <w:shd w:val="clear" w:color="000000" w:fill="FFFF00"/>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highlight w:val="black"/>
              </w:rPr>
            </w:pPr>
            <w:r>
              <w:rPr>
                <w:rFonts w:hint="eastAsia" w:ascii="Times New Roman" w:hAnsi="Times New Roman" w:eastAsia="Times New Roman" w:cs="Times New Roman"/>
                <w:b/>
                <w:bCs/>
                <w:color w:val="FFFFFF"/>
                <w:highlight w:val="black"/>
              </w:rPr>
              <w:t xml:space="preserve"> LNCSR </w:t>
            </w:r>
          </w:p>
        </w:tc>
        <w:tc>
          <w:tcPr>
            <w:tcW w:w="1540" w:type="dxa"/>
            <w:tcBorders>
              <w:top w:val="nil"/>
              <w:left w:val="nil"/>
              <w:bottom w:val="single" w:color="FFFFFF" w:sz="12" w:space="0"/>
              <w:right w:val="single" w:color="FFFFFF" w:sz="4" w:space="0"/>
            </w:tcBorders>
            <w:shd w:val="clear" w:color="000000" w:fill="FFFF00"/>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highlight w:val="black"/>
              </w:rPr>
            </w:pPr>
            <w:r>
              <w:rPr>
                <w:rFonts w:hint="eastAsia" w:ascii="Times New Roman" w:hAnsi="Times New Roman" w:eastAsia="Times New Roman" w:cs="Times New Roman"/>
                <w:b/>
                <w:bCs/>
                <w:color w:val="FFFFFF"/>
                <w:highlight w:val="black"/>
              </w:rPr>
              <w:t xml:space="preserve"> LNRB </w:t>
            </w:r>
          </w:p>
        </w:tc>
        <w:tc>
          <w:tcPr>
            <w:tcW w:w="1540" w:type="dxa"/>
            <w:tcBorders>
              <w:top w:val="nil"/>
              <w:left w:val="nil"/>
              <w:bottom w:val="single" w:color="FFFFFF" w:sz="12" w:space="0"/>
              <w:right w:val="nil"/>
            </w:tcBorders>
            <w:shd w:val="clear" w:color="000000" w:fill="FFFF00"/>
            <w:noWrap/>
            <w:vAlign w:val="bottom"/>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color w:val="FFFFFF"/>
                <w:highlight w:val="black"/>
              </w:rPr>
            </w:pPr>
            <w:r>
              <w:rPr>
                <w:rFonts w:hint="eastAsia" w:ascii="Times New Roman" w:hAnsi="Times New Roman" w:eastAsia="Times New Roman" w:cs="Times New Roman"/>
                <w:b/>
                <w:bCs/>
                <w:color w:val="FFFFFF"/>
                <w:highlight w:val="black"/>
              </w:rPr>
              <w:t xml:space="preserve"> LNPBV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6.442.757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.919.014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(2.277.268)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2.437.160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(.198.451)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7.952.066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2.800.528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(2.277.268)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2.424.304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1.410.987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8.013.864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(1.201.356)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(2.277.268)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2.409.619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1.105.257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7.310.201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(.049.875)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(2.277.268)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2.526.666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.412.110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7.383.780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(.049.875)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(2.277.268)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.971.244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.488.580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6.664.811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(.049.875)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(5.206.961)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(.235.722)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6.727.995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(6.548.918)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(4.859.345)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(.186.330)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7.669.911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(6.548.918)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(4.859.345)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.732.368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7.761.278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(6.548.918)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(4.859.345)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.810.930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7.780.671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(6.043.780)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(4.859.345)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1.327.075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6.692.459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(6.043.780)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(7.010.949)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(.248.461)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6.652.092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(6.043.780)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(5.511.406)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(.287.682)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6.782.960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(7.865.145)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(5.511.406)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(.510.826)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6.635.580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(9.331.109)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(4.907.882)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(.235.722)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6.699.809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(9.331.109)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(5.113.897)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(.248.461)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7.127.977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(4.313.853)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(4.590.742)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.223.144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7.005.325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(5.603.472)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(4.669.045)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.095.310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6.984.371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(5.228.337)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(4.887.071)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.095.310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7.264.271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(7.636.008)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(4.739.549)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.364.643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7.215.991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(4.435.019)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(6.361.098)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.343.590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8.204.866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(3.744.946)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(1.192.565)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1.297.463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8.128.712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(6.659.897)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(3.490.428)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1.249.902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8.320.963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(4.635.531)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(3.471.139)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1.413.423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8.348.575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(4.635.531)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(3.462.752)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1.495.149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8.291.293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(5.919.886)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(3.470.918)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1.566.530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7.085.163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(.176.850)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3.387.753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.148.420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6.477.072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(.176.850)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1.383.588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(.446.287)</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6.963.852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(.964.914)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1.748.301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.029.559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7.662.245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(.964.914)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1.748.301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.482.426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7.829.084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(.404.291)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1.748.301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.524.729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6.735.950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(6.505.997)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(4.387.909)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(.174.353)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7.266.680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(5.974.554)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(4.328.821)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(.462.035)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6.676.058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(4.298.161)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(6.774.768)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(.616.186)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5.910.157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(6.893.058)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(6.492.433)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(1.021.651)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6.165.956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(5.748.016)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(6.954.367)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(.733.969)</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7.943.948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(.917.015)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(3.359.210)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1.036.737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7.735.309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.852.151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(3.790.235)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.810.930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7.508.990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3.149.132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3.396.905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.625.938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7.510.878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1.424.141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3.393.155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.631.272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7.391.239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(.570.657)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3.246.989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.620.576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7.078.654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(5.742.789)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(3.796.980)</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.173.953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7.051.326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(3.887.793)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(3.909.016)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(1.660.731)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7.511.901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(6.500.008)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(3.849.044)</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7.304.408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(6.878.633)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(3.719.771)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.457.425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7.210.707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(5.539.540)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(3.770.324)</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.418.710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6.211.163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(5.642.512)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(3.313.667)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.912.283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5.972.164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(6.159.124)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(3.386.076)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.712.950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7.890.721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(4.224.756)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(3.295.526)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.985.817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7.798.367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(8.607.527)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(3.436.609)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.943.906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7.729.518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(6.484.712)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(3.484.932)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.932.164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6.896.438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(6.484.712)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(4.216.732)</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(.010.050)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6.869.542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(8.099.854)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(4.157.137)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.019.803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7.463.882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(4.432.590)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(4.207.021)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.559.616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7.027.723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(7.451.318)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(4.445.799)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.148.420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7.103.695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(7.455.005)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(6.392.810)</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.215.111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5.922.845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(5.500.808)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(4.382.450)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.978.326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6.510.637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(6.361.975)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(4.343.957)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1.101.940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1.022.372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(4.340.007)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(5.557.629)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.963.174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.898.634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(4.149.986)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(5.557.629)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.631.272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.557.339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(4.121.179)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(5.559.363)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.565.314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12.914.806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(4.121.179)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(5.559.363)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.350.657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12.610.438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(4.121.179)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(5.559.363)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.357.674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7.999.369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(5.657.060)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(5.023.733)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(.061.875)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8.139.253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(8.553.102)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(5.023.733)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1.026.042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7.897.904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(8.553.102)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(7.311.754)</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1.015.231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6.798.408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(6.978.854)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(3.896.661)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(.105.361)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6.884.986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(6.978.854)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(3.563.361)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(.020.203)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7.438.693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(6.978.854)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(3.551.941)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.530.628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7.459.830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(6.978.854)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(3.589.280)</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.582.216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7.560.305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(6.599.782)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(4.079.587)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.751.416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6.252.456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(6.599.782)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(2.547.571)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8.349.156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(6.599.782)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(3.644.045)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1.695.616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8.310.417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(6.599.782)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(3.447.931)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1.403.643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8.438.766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(6.599.782)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(4.050.522)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1.541.159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8.671.301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(6.174.108)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(4.136.791)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1.532.557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7.249.124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(6.174.108)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(6.282.446)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.647.103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6.972.565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(7.013.672)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(5.941.159)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.314.811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7.719.409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(8.066.863)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(5.884.602)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1.551.809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7.320.737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(5.957.833)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(6.111.098)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1.150.572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7.182.842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(7.030.836)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(5.564.548)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1.011.601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6.849.837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(7.030.836)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(3.891.187)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(.061.875)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8.130.863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(7.030.836)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(4.209.176)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1.226.712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7.741.940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(4.204.133)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(4.213.756)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.832.909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7.473.836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(6.476.809)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(4.067.158)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.553.885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7.536.914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(5.876.657)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(4.094.077)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.672.944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6.942.652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(6.592.399)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(3.576.889)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.039.221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7.074.607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(7.782.298)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(3.389.312)</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.190.620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7.215.437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(4.599.200)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(3.445.538)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.307.485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7.106.524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(6.589.354)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(3.604.083)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.231.112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7.102.333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(7.899.919)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(3.754.217)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.262.364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6.731.112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(8.930.948)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(4.832.146)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.048.790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6.468.610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(8.930.948)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(4.832.146)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.048.790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6.950.198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(8.680.426)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(3.867.677)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.019.803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6.679.738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(6.323.023)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(2.392.537)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(.030.459)</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6.692.348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(6.323.023)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(4.870.292)</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(.020.203)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.596.909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(5.579.218)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(4.558.761)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.598.837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.375.021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(3.363.511)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(4.091.938)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.727.549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.261.561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(3.363.511)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(4.189.531)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.405.465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.165.722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(3.660.782)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(4.560.889)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.336.472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(.016.175)</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(3.660.782)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(4.509.840)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.165.514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6.805.866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(6.869.508)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(.108.213)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(3.542.465)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.593.327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6.356.625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(6.805.759)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(.108.213)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(4.021.885)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.570.980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7.694.392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(6.713.977)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(.108.213)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(3.723.168)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.788.457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7.528.740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(6.830.363)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(.108.213)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(3.568.366)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7.416.500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(6.952.700)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(.108.213)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(3.588.075)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.620.576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5.874.118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(2.464.983)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2.508.068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(1.021.651)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5.875.768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4.439.018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2.695.602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(1.021.651)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6.118.672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4.439.018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2.847.483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(.755.023)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6.055.687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(2.874.478)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2.848.678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(.776.529)</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6.139.721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1.963.270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2.231.181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(.693.147)</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6.256.509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(10.046.601)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(.182.322)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(5.844.489)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(.653.926)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6.160.928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(6.975.649)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(.182.322)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(4.474.259)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(.462.035)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6.822.394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(4.407.201)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(.182.322)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(4.172.056)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(.083.382)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6.364.712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(4.407.201)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(.182.322)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(4.018.993)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(.510.826)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6.463.709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(6.713.322)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(.182.322)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(4.018.733)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(.342.490)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6.595.163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(7.738.755)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13.840.828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(4.617.594)</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(.301.105)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7.080.139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(7.738.755)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13.840.828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(4.166.273)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.215.111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6.754.180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(4.818.384)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13.840.828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(4.236.778)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(.150.823)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6.438.940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(7.629.475)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13.840.828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(4.069.625)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(.415.515)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6.554.822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(6.350.335)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13.840.828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(4.183.815)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(.248.461)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7.077.072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(6.350.335)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(3.384.664)</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(.510.826)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6.615.959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(4.674.969)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(3.043.540)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(.616.186)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6.666.970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(4.674.969)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(2.849.973)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(.210.721)</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6.617.766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(4.674.969)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(3.033.476)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(.223.144)</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7.029.488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(7.472.662)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(3.025.670)</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.254.642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7.323.580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(6.545.930)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(2.744.629)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(.030.459)</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7.994.604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(4.235.335)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(2.554.283)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.576.613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7.935.328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(8.498.912)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(2.512.357)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1.050.822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7.462.802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(5.760.761)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(2.385.449)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.512.824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7.328.835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(6.214.022)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(2.054.125)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(2.155.138)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.488.580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8.119.303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(6.214.022)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2.016.842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1.211.941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7.563.602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3.368.476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4.892.591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.662.688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7.661.739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3.368.476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2.299.349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.512.824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7.673.388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3.368.476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1.368.915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.737.164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7.644.749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(6.435.662)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1.578.753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.727.549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6.914.400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(6.435.662)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(1.192.311)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.009.950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6.851.387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(6.435.662)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(3.555.691)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(.030.459)</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6.727.741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(4.838.678)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(3.876.718)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(.174.353)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6.946.513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(8.204.924)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(3.499.791)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.076.961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6.888.912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(7.268.647)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(.667.828)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(3.807.588)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.122.218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5.871.121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(7.268.647)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1.195.380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(1.049.822)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5.772.943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2.570.778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1.187.631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(.967.584)</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6.592.053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2.570.778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1.566.571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(.342.490)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6.375.245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2.570.778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1.169.519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(.527.633)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6.233.583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(.829.842)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(.801.361)</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1.169.519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(.634.878)</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(.531.683)</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3.916.144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2.041.633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(.527.633)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.191.075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3.916.144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2.027.289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.207.014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.318.659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3.916.144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1.542.230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.322.083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.269.997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(.939.217)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1.159.358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.285.179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7.184.450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(.939.217)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(.550.046)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1.159.358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.378.436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5.713.281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(.939.217)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(5.599.769)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(1.203.973)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5.563.096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(8.229.652)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(5.558.155)</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(1.272.966)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5.635.962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(2.992.559)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(5.598.574)</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(1.272.966)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5.363.653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(2.992.559)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(5.711.148)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(1.514.128)</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5.642.121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(2.992.559)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(5.711.148)</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(1.272.966)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7.319.768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2.373.129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(.444.685)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(4.323.136)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.604.316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7.405.380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1.190.358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(.444.685)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(4.193.855)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1.081.805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7.733.699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1.190.358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(.444.685)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(4.416.536)</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1.007.958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8.330.715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(8.086.469)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(.444.685)</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(4.976.017)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1.497.388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8.247.949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(6.276.111)</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(.444.685)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(4.873.760)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1.470.176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6.695.922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(4.075.330)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(4.697.587)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.329.304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6.934.631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(4.075.330)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(5.084.520)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.009.950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7.283.720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(4.335.097)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(5.367.687)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.364.643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6.844.390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(4.054.413)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(4.823.423)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(.061.875)</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6.913.413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(4.054.413)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(1.648.657)</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(5.106.462)</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.095.310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7.590.954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(4.054.413)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(4.058.233)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.683.097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7.277.765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(2.885.249)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(3.870.417)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.364.643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.606.286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(2.885.249)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(3.937.781)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.576.613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7.814.300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(2.885.249)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(3.758.646)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.985.817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.674.261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(5.211.863)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(3.677.431)</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.963.174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6.100.331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(6.694.934)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(.349.376)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(4.097.897)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(.116.534)</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6.411.371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(7.342.438)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(.349.376)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(4.077.473)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.215.111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6.180.971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(4.744.770)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(.349.376)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(3.978.552)</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(.010.050)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6.688.474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(8.584.032)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(.349.376)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(3.907.772)</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(.186.330)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6.658.832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(6.237.592)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(.349.376)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(3.839.049)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(.139.262)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7.401.263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(6.103.584)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(5.697.429)</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.494.696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7.837.003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(5.947.713)</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(5.442.687)</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.912.283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8.026.415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(6.805.320)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(5.486.260)</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1.124.930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8.051.250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(6.805.320)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(5.597.653)</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1.156.881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7.980.855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(8.684.680)</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(2.747.264)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(6.222.933)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1.111.858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6.463.287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(5.095.264)</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(4.324.109)</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(.446.287)</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6.269.523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(3.402.194)</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(4.128.797)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(.616.186)</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6.628.975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(5.696.016)</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(4.299.546)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(.274.437)</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6.517.474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(5.696.016)</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(3.857.778)</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(.342.490)</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6.638.866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(5.910.780)</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(1.137.832)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(3.867.941)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(.150.823)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.820.991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(1.676.793)</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2.390.863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.756.122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.066.559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1.019.651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1.144.042 </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.009.950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.942.192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1.245.792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1.144.042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.883.768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(.331.291)</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.234.811 </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(.764.655)</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(.328.504)</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(.147.962)</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.234.811 </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(.955.512)</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.526.372 </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(.139.262)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7.187.670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(4.302.898)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(4.003.320)</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.300.105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7.167.779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(7.396.035)</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(4.001.433)</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.292.670 </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6.865.962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(6.841.428)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(3.829.761)</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(.040.822)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6.761.571 </w:t>
            </w: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(7.905.729)</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(3.703.917)</w:t>
            </w: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(.127.833)</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6.692.746 </w:t>
            </w:r>
          </w:p>
        </w:tc>
        <w:tc>
          <w:tcPr>
            <w:tcW w:w="172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(7.905.729)</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(1.360.978)</w:t>
            </w:r>
          </w:p>
        </w:tc>
        <w:tc>
          <w:tcPr>
            <w:tcW w:w="1540" w:type="dxa"/>
            <w:tcBorders>
              <w:top w:val="nil"/>
              <w:left w:val="nil"/>
              <w:bottom w:val="single" w:color="FFFFFF" w:sz="4" w:space="0"/>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(4.166.786)</w:t>
            </w:r>
          </w:p>
        </w:tc>
        <w:tc>
          <w:tcPr>
            <w:tcW w:w="1540" w:type="dxa"/>
            <w:tcBorders>
              <w:top w:val="nil"/>
              <w:left w:val="nil"/>
              <w:bottom w:val="single" w:color="FFFFFF" w:sz="4" w:space="0"/>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b/>
                <w:bCs/>
                <w:color w:val="000000"/>
              </w:rPr>
            </w:pPr>
            <w:r>
              <w:rPr>
                <w:rFonts w:hint="eastAsia" w:ascii="Times New Roman" w:hAnsi="Times New Roman" w:eastAsia="Times New Roman" w:cs="Times New Roman"/>
                <w:b/>
                <w:bCs/>
                <w:color w:val="000000"/>
              </w:rPr>
              <w:t xml:space="preserve">       (.139.262)</w:t>
            </w:r>
          </w:p>
        </w:tc>
      </w:tr>
      <w:tr>
        <w:tblPrEx>
          <w:tblCellMar>
            <w:top w:w="0" w:type="dxa"/>
            <w:left w:w="108" w:type="dxa"/>
            <w:bottom w:w="0" w:type="dxa"/>
            <w:right w:w="108" w:type="dxa"/>
          </w:tblCellMar>
        </w:tblPrEx>
        <w:trPr>
          <w:trHeight w:val="300" w:hRule="atLeast"/>
        </w:trPr>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72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single" w:color="FFFFFF" w:sz="4" w:space="0"/>
              <w:right w:val="single" w:color="FFFFFF" w:sz="4" w:space="0"/>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single" w:color="FFFFFF" w:sz="4" w:space="0"/>
              <w:right w:val="nil"/>
            </w:tcBorders>
            <w:shd w:val="clear" w:color="DBE5F1" w:fill="DBE5F1"/>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r>
      <w:tr>
        <w:tblPrEx>
          <w:tblCellMar>
            <w:top w:w="0" w:type="dxa"/>
            <w:left w:w="108" w:type="dxa"/>
            <w:bottom w:w="0" w:type="dxa"/>
            <w:right w:w="108" w:type="dxa"/>
          </w:tblCellMar>
        </w:tblPrEx>
        <w:trPr>
          <w:trHeight w:val="300" w:hRule="atLeast"/>
        </w:trPr>
        <w:tc>
          <w:tcPr>
            <w:tcW w:w="154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72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nil"/>
              <w:right w:val="single" w:color="FFFFFF" w:sz="4" w:space="0"/>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c>
          <w:tcPr>
            <w:tcW w:w="1540" w:type="dxa"/>
            <w:tcBorders>
              <w:top w:val="nil"/>
              <w:left w:val="nil"/>
              <w:bottom w:val="nil"/>
              <w:right w:val="nil"/>
            </w:tcBorders>
            <w:shd w:val="clear" w:color="B8CCE4" w:fill="B8CCE4"/>
            <w:noWrap/>
            <w:vAlign w:val="bottom"/>
          </w:tcPr>
          <w:p>
            <w:pPr>
              <w:keepNext w:val="0"/>
              <w:keepLines w:val="0"/>
              <w:widowControl/>
              <w:suppressLineNumbers w:val="0"/>
              <w:spacing w:before="0" w:beforeAutospacing="0" w:after="0" w:afterAutospacing="0" w:line="240" w:lineRule="auto"/>
              <w:ind w:left="0" w:right="0" w:firstLine="0"/>
              <w:jc w:val="left"/>
              <w:rPr>
                <w:rFonts w:hint="eastAsia" w:ascii="Calibri" w:hAnsi="Calibri" w:eastAsia="Times New Roman" w:cs="Calibri"/>
                <w:color w:val="000000"/>
              </w:rPr>
            </w:pPr>
          </w:p>
        </w:tc>
      </w:tr>
    </w:tbl>
    <w:p>
      <w:pPr>
        <w:ind w:firstLine="720"/>
        <w:jc w:val="center"/>
        <w:rPr>
          <w:rFonts w:ascii="Times New Roman" w:hAnsi="Times New Roman" w:cs="Times New Roman"/>
          <w:sz w:val="24"/>
          <w:szCs w:val="24"/>
        </w:rPr>
      </w:pPr>
    </w:p>
    <w:p>
      <w:pPr>
        <w:ind w:firstLine="720"/>
        <w:rPr>
          <w:rFonts w:ascii="Times New Roman" w:hAnsi="Times New Roman" w:cs="Times New Roman"/>
          <w:sz w:val="24"/>
          <w:szCs w:val="24"/>
        </w:rPr>
      </w:pPr>
      <w:r>
        <w:rPr>
          <w:rFonts w:ascii="Times New Roman" w:hAnsi="Times New Roman" w:cs="Times New Roman"/>
          <w:b/>
          <w:sz w:val="24"/>
          <w:szCs w:val="24"/>
        </w:rPr>
        <w:br w:type="page"/>
      </w:r>
    </w:p>
    <w:p>
      <w:pPr>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LAMPIRAN 9 </w:t>
      </w:r>
    </w:p>
    <w:p>
      <w:pPr>
        <w:spacing w:line="240" w:lineRule="auto"/>
        <w:ind w:firstLine="0"/>
        <w:jc w:val="center"/>
        <w:rPr>
          <w:rFonts w:ascii="Times New Roman" w:hAnsi="Times New Roman" w:cs="Times New Roman"/>
          <w:b/>
          <w:sz w:val="24"/>
          <w:szCs w:val="24"/>
        </w:rPr>
      </w:pPr>
    </w:p>
    <w:p>
      <w:pPr>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158615" cy="6000750"/>
            <wp:effectExtent l="19050" t="0" r="0" b="0"/>
            <wp:docPr id="1" name="Picture 0" descr="Screenshot 2021-06-17 at 11-01-53 tabel-t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Screenshot 2021-06-17 at 11-01-53 tabel-t pdf.png"/>
                    <pic:cNvPicPr>
                      <a:picLocks noChangeAspect="1"/>
                    </pic:cNvPicPr>
                  </pic:nvPicPr>
                  <pic:blipFill>
                    <a:blip r:embed="rId28"/>
                    <a:stretch>
                      <a:fillRect/>
                    </a:stretch>
                  </pic:blipFill>
                  <pic:spPr>
                    <a:xfrm>
                      <a:off x="0" y="0"/>
                      <a:ext cx="4159036" cy="6000750"/>
                    </a:xfrm>
                    <a:prstGeom prst="rect">
                      <a:avLst/>
                    </a:prstGeom>
                  </pic:spPr>
                </pic:pic>
              </a:graphicData>
            </a:graphic>
          </wp:inline>
        </w:drawing>
      </w:r>
      <w:r>
        <w:rPr>
          <w:rFonts w:ascii="Times New Roman" w:hAnsi="Times New Roman" w:cs="Times New Roman"/>
          <w:b/>
          <w:sz w:val="24"/>
          <w:szCs w:val="24"/>
        </w:rPr>
        <w:br w:type="page"/>
      </w:r>
    </w:p>
    <w:p>
      <w:pPr>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LAMPIRAN 10</w:t>
      </w:r>
    </w:p>
    <w:p>
      <w:pPr>
        <w:spacing w:line="240" w:lineRule="auto"/>
        <w:ind w:firstLine="0"/>
        <w:jc w:val="center"/>
        <w:rPr>
          <w:rFonts w:ascii="Times New Roman" w:hAnsi="Times New Roman" w:cs="Times New Roman"/>
          <w:b/>
          <w:sz w:val="24"/>
          <w:szCs w:val="24"/>
        </w:rPr>
      </w:pP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Titik presentase di stribusi F untuk Probabilita = 0.05</w:t>
      </w:r>
    </w:p>
    <w:p>
      <w:pPr>
        <w:spacing w:line="240" w:lineRule="auto"/>
        <w:ind w:firstLine="0"/>
        <w:jc w:val="left"/>
        <w:rPr>
          <w:rFonts w:ascii="Times New Roman" w:hAnsi="Times New Roman" w:cs="Times New Roman"/>
          <w:b/>
          <w:sz w:val="24"/>
          <w:szCs w:val="24"/>
        </w:rPr>
      </w:pPr>
    </w:p>
    <w:p>
      <w:pPr>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575300" cy="6172200"/>
            <wp:effectExtent l="19050" t="0" r="6234" b="0"/>
            <wp:docPr id="3" name="Picture 2" descr="Screenshot 2021-06-17 at 11-05-15 tabel-f-0-0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21-06-17 at 11-05-15 tabel-f-0-05 pdf.png"/>
                    <pic:cNvPicPr>
                      <a:picLocks noChangeAspect="1"/>
                    </pic:cNvPicPr>
                  </pic:nvPicPr>
                  <pic:blipFill>
                    <a:blip r:embed="rId29"/>
                    <a:stretch>
                      <a:fillRect/>
                    </a:stretch>
                  </pic:blipFill>
                  <pic:spPr>
                    <a:xfrm>
                      <a:off x="0" y="0"/>
                      <a:ext cx="5574011" cy="617064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br w:type="page"/>
      </w:r>
    </w:p>
    <w:p>
      <w:pPr>
        <w:ind w:firstLine="0"/>
        <w:jc w:val="center"/>
        <w:rPr>
          <w:rFonts w:ascii="Times New Roman" w:hAnsi="Times New Roman" w:cs="Times New Roman"/>
          <w:b/>
          <w:sz w:val="24"/>
          <w:szCs w:val="24"/>
        </w:rPr>
      </w:pPr>
      <w:r>
        <w:rPr>
          <w:rFonts w:ascii="Times New Roman" w:hAnsi="Times New Roman" w:cs="Times New Roman"/>
          <w:b/>
          <w:sz w:val="24"/>
          <w:szCs w:val="24"/>
        </w:rPr>
        <w:t>LAMPIRAN 11</w:t>
      </w:r>
    </w:p>
    <w:p>
      <w:pPr>
        <w:ind w:firstLine="0"/>
        <w:rPr>
          <w:rFonts w:ascii="Times New Roman" w:hAnsi="Times New Roman" w:cs="Times New Roman"/>
          <w:b/>
          <w:sz w:val="24"/>
          <w:szCs w:val="24"/>
        </w:rPr>
      </w:pPr>
      <w:r>
        <w:rPr>
          <w:rFonts w:ascii="Times New Roman" w:hAnsi="Times New Roman" w:cs="Times New Roman"/>
          <w:b/>
          <w:sz w:val="24"/>
          <w:szCs w:val="24"/>
        </w:rPr>
        <w:t>regression</w:t>
      </w:r>
    </w:p>
    <w:p>
      <w:pPr>
        <w:spacing w:line="240" w:lineRule="auto"/>
        <w:ind w:firstLine="0"/>
        <w:jc w:val="left"/>
      </w:pPr>
    </w:p>
    <w:p>
      <w:pPr>
        <w:spacing w:line="240" w:lineRule="auto"/>
        <w:ind w:firstLine="0"/>
        <w:jc w:val="left"/>
      </w:pPr>
    </w:p>
    <w:tbl>
      <w:tblPr>
        <w:tblStyle w:val="6"/>
        <w:tblW w:w="7120"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0"/>
        <w:gridCol w:w="714"/>
        <w:gridCol w:w="1144"/>
        <w:gridCol w:w="1138"/>
        <w:gridCol w:w="825"/>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7120" w:type="dxa"/>
            <w:gridSpan w:val="6"/>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60" w:firstLine="0"/>
              <w:jc w:val="center"/>
              <w:rPr>
                <w:rFonts w:hint="eastAsia" w:ascii="Times New Roman" w:hAnsi="Times New Roman" w:cs="Times New Roman"/>
                <w:color w:val="010205"/>
                <w:sz w:val="24"/>
                <w:szCs w:val="24"/>
              </w:rPr>
            </w:pPr>
            <w:r>
              <w:rPr>
                <w:rFonts w:hint="eastAsia" w:ascii="Times New Roman" w:hAnsi="Times New Roman" w:cs="Times New Roman"/>
                <w:b/>
                <w:bCs/>
                <w:color w:val="010205"/>
                <w:sz w:val="24"/>
                <w:szCs w:val="24"/>
              </w:rPr>
              <w:t>Descriptive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trPr>
        <w:tc>
          <w:tcPr>
            <w:tcW w:w="180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71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N</w:t>
            </w:r>
          </w:p>
        </w:tc>
        <w:tc>
          <w:tcPr>
            <w:tcW w:w="114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Minimum</w:t>
            </w:r>
          </w:p>
        </w:tc>
        <w:tc>
          <w:tcPr>
            <w:tcW w:w="1138"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Maximum</w:t>
            </w:r>
          </w:p>
        </w:tc>
        <w:tc>
          <w:tcPr>
            <w:tcW w:w="82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Mean</w:t>
            </w:r>
          </w:p>
        </w:tc>
        <w:tc>
          <w:tcPr>
            <w:tcW w:w="149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Std. Deviation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MBVE</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-.53</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12.91</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6.4788</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2.19945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CAPBVA</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-10.05</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4.44</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-4.5660</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3.34954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CSR</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-2.75</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13.84</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-.7929</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RISIKO BISNIS</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-7.31</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4.89</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-3.1005</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2.70686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NILAI PERUSAHAAN</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-1.66</w:t>
            </w:r>
          </w:p>
        </w:tc>
        <w:tc>
          <w:tcPr>
            <w:tcW w:w="113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1.70</w:t>
            </w:r>
          </w:p>
        </w:tc>
        <w:tc>
          <w:tcPr>
            <w:tcW w:w="82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.2655</w:t>
            </w:r>
          </w:p>
        </w:tc>
        <w:tc>
          <w:tcPr>
            <w:tcW w:w="14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.67168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9" w:hRule="atLeast"/>
        </w:trPr>
        <w:tc>
          <w:tcPr>
            <w:tcW w:w="180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jc w:val="left"/>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Valid N (listwise)</w:t>
            </w:r>
          </w:p>
        </w:tc>
        <w:tc>
          <w:tcPr>
            <w:tcW w:w="714"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w:t>
            </w:r>
          </w:p>
        </w:tc>
        <w:tc>
          <w:tcPr>
            <w:tcW w:w="114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1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82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c>
          <w:tcPr>
            <w:tcW w:w="1499"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jc w:val="center"/>
              <w:rPr>
                <w:rFonts w:hint="eastAsia" w:ascii="Times New Roman" w:hAnsi="Times New Roman" w:cs="Times New Roman"/>
                <w:sz w:val="24"/>
                <w:szCs w:val="24"/>
              </w:rPr>
            </w:pPr>
          </w:p>
        </w:tc>
      </w:tr>
    </w:tbl>
    <w:p>
      <w:pPr>
        <w:spacing w:line="240" w:lineRule="auto"/>
        <w:ind w:firstLine="0"/>
        <w:jc w:val="left"/>
      </w:pPr>
    </w:p>
    <w:p/>
    <w:tbl>
      <w:tblPr>
        <w:tblStyle w:val="6"/>
        <w:tblW w:w="7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1397"/>
        <w:gridCol w:w="1397"/>
        <w:gridCol w:w="1397"/>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165" w:type="dxa"/>
            <w:gridSpan w:val="5"/>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Model Summary</w:t>
            </w:r>
            <w:r>
              <w:rPr>
                <w:rFonts w:hint="eastAsia" w:ascii="Times New Roman" w:hAnsi="Times New Roman" w:eastAsia="Times New Roman" w:cs="Times New Roman"/>
                <w:b/>
                <w:bCs/>
                <w:sz w:val="24"/>
                <w:szCs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631"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Model</w:t>
            </w:r>
          </w:p>
        </w:tc>
        <w:tc>
          <w:tcPr>
            <w:tcW w:w="1397"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R</w:t>
            </w:r>
          </w:p>
        </w:tc>
        <w:tc>
          <w:tcPr>
            <w:tcW w:w="1397"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R Square</w:t>
            </w:r>
          </w:p>
        </w:tc>
        <w:tc>
          <w:tcPr>
            <w:tcW w:w="1397"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Adjusted R Square</w:t>
            </w:r>
          </w:p>
        </w:tc>
        <w:tc>
          <w:tcPr>
            <w:tcW w:w="1343" w:type="dxa"/>
            <w:shd w:val="clear" w:color="auto" w:fill="auto"/>
            <w:vAlign w:val="bottom"/>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Std. Error of the Estimate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31" w:type="dxa"/>
            <w:shd w:val="clear" w:color="000000" w:fill="CCCCFF"/>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w:t>
            </w:r>
          </w:p>
        </w:tc>
        <w:tc>
          <w:tcPr>
            <w:tcW w:w="1397"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,254</w:t>
            </w:r>
            <w:r>
              <w:rPr>
                <w:rFonts w:hint="eastAsia" w:ascii="Times New Roman" w:hAnsi="Times New Roman" w:eastAsia="Times New Roman" w:cs="Times New Roman"/>
                <w:sz w:val="24"/>
                <w:szCs w:val="24"/>
                <w:vertAlign w:val="superscript"/>
              </w:rPr>
              <w:t>a</w:t>
            </w:r>
          </w:p>
        </w:tc>
        <w:tc>
          <w:tcPr>
            <w:tcW w:w="1397"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0.064</w:t>
            </w:r>
          </w:p>
        </w:tc>
        <w:tc>
          <w:tcPr>
            <w:tcW w:w="1397"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0.045</w:t>
            </w:r>
          </w:p>
        </w:tc>
        <w:tc>
          <w:tcPr>
            <w:tcW w:w="1343" w:type="dxa"/>
            <w:shd w:val="clear" w:color="auto" w:fill="auto"/>
            <w:noWrap/>
          </w:tcPr>
          <w:p>
            <w:pPr>
              <w:keepNext w:val="0"/>
              <w:keepLines w:val="0"/>
              <w:widowControl/>
              <w:suppressLineNumbers w:val="0"/>
              <w:spacing w:before="0" w:beforeAutospacing="0" w:after="0" w:afterAutospacing="0" w:line="240" w:lineRule="auto"/>
              <w:ind w:left="0" w:right="0" w:firstLine="0"/>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0.65654</w:t>
            </w:r>
          </w:p>
        </w:tc>
      </w:tr>
    </w:tbl>
    <w:p/>
    <w:tbl>
      <w:tblPr>
        <w:tblStyle w:val="6"/>
        <w:tblW w:w="7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6"/>
        <w:gridCol w:w="1324"/>
        <w:gridCol w:w="1557"/>
        <w:gridCol w:w="1305"/>
        <w:gridCol w:w="1145"/>
        <w:gridCol w:w="834"/>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jc w:val="center"/>
        </w:trPr>
        <w:tc>
          <w:tcPr>
            <w:tcW w:w="7599" w:type="dxa"/>
            <w:gridSpan w:val="7"/>
            <w:shd w:val="clear" w:color="auto" w:fill="FFFFFF"/>
            <w:vAlign w:val="center"/>
          </w:tcPr>
          <w:p>
            <w:pPr>
              <w:keepNext w:val="0"/>
              <w:keepLines w:val="0"/>
              <w:widowControl/>
              <w:suppressLineNumbers w:val="0"/>
              <w:autoSpaceDE w:val="0"/>
              <w:autoSpaceDN w:val="0"/>
              <w:adjustRightInd w:val="0"/>
              <w:spacing w:before="0" w:beforeAutospacing="0" w:after="0" w:afterAutospacing="0" w:line="320" w:lineRule="atLeast"/>
              <w:ind w:left="0" w:right="60" w:firstLine="0"/>
              <w:jc w:val="center"/>
              <w:rPr>
                <w:rFonts w:hint="eastAsia" w:ascii="Times New Roman" w:hAnsi="Times New Roman" w:cs="Times New Roman"/>
                <w:sz w:val="24"/>
                <w:szCs w:val="24"/>
              </w:rPr>
            </w:pPr>
            <w:r>
              <w:rPr>
                <w:rFonts w:hint="eastAsia" w:ascii="Times New Roman" w:hAnsi="Times New Roman" w:cs="Times New Roman"/>
                <w:b/>
                <w:bCs/>
                <w:sz w:val="24"/>
                <w:szCs w:val="24"/>
              </w:rPr>
              <w:t>ANOVA</w:t>
            </w:r>
            <w:r>
              <w:rPr>
                <w:rFonts w:hint="eastAsia" w:ascii="Times New Roman" w:hAnsi="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jc w:val="center"/>
        </w:trPr>
        <w:tc>
          <w:tcPr>
            <w:tcW w:w="1920"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1557"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Sum of Squares</w:t>
            </w:r>
          </w:p>
        </w:tc>
        <w:tc>
          <w:tcPr>
            <w:tcW w:w="130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df</w:t>
            </w:r>
          </w:p>
        </w:tc>
        <w:tc>
          <w:tcPr>
            <w:tcW w:w="114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Mean Square</w:t>
            </w:r>
          </w:p>
        </w:tc>
        <w:tc>
          <w:tcPr>
            <w:tcW w:w="834"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F</w:t>
            </w:r>
          </w:p>
        </w:tc>
        <w:tc>
          <w:tcPr>
            <w:tcW w:w="838"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6" w:hRule="atLeast"/>
          <w:jc w:val="center"/>
        </w:trPr>
        <w:tc>
          <w:tcPr>
            <w:tcW w:w="596"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Regression</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5.626</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114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1.406</w:t>
            </w:r>
          </w:p>
        </w:tc>
        <w:tc>
          <w:tcPr>
            <w:tcW w:w="834"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3.263</w:t>
            </w:r>
          </w:p>
        </w:tc>
        <w:tc>
          <w:tcPr>
            <w:tcW w:w="838"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.013</w:t>
            </w:r>
            <w:r>
              <w:rPr>
                <w:rFonts w:hint="eastAsia" w:ascii="Times New Roman" w:hAnsi="Times New Roman" w:cs="Times New Roman"/>
                <w:sz w:val="24"/>
                <w:szCs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2" w:hRule="atLeast"/>
          <w:jc w:val="center"/>
        </w:trPr>
        <w:tc>
          <w:tcPr>
            <w:tcW w:w="59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Residual</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81.898</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190</w:t>
            </w:r>
          </w:p>
        </w:tc>
        <w:tc>
          <w:tcPr>
            <w:tcW w:w="114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.431</w:t>
            </w:r>
          </w:p>
        </w:tc>
        <w:tc>
          <w:tcPr>
            <w:tcW w:w="83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2" w:hRule="atLeast"/>
          <w:jc w:val="center"/>
        </w:trPr>
        <w:tc>
          <w:tcPr>
            <w:tcW w:w="59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Total</w:t>
            </w: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87.524</w:t>
            </w: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194</w:t>
            </w:r>
          </w:p>
        </w:tc>
        <w:tc>
          <w:tcPr>
            <w:tcW w:w="114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2" w:hRule="atLeast"/>
          <w:jc w:val="center"/>
        </w:trPr>
        <w:tc>
          <w:tcPr>
            <w:tcW w:w="59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4" w:type="dxa"/>
            <w:shd w:val="clear" w:color="auto" w:fill="E0E0E0"/>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p>
        </w:tc>
        <w:tc>
          <w:tcPr>
            <w:tcW w:w="1557"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p>
        </w:tc>
        <w:tc>
          <w:tcPr>
            <w:tcW w:w="1305" w:type="dxa"/>
            <w:shd w:val="clear" w:color="auto" w:fill="FFFFFF"/>
          </w:tcPr>
          <w:p>
            <w:pPr>
              <w:keepNext w:val="0"/>
              <w:keepLines w:val="0"/>
              <w:widowControl/>
              <w:suppressLineNumbers w:val="0"/>
              <w:autoSpaceDE w:val="0"/>
              <w:autoSpaceDN w:val="0"/>
              <w:adjustRightInd w:val="0"/>
              <w:spacing w:before="0" w:beforeAutospacing="0" w:after="0" w:afterAutospacing="0" w:line="320" w:lineRule="atLeast"/>
              <w:ind w:left="60" w:right="60" w:firstLine="0"/>
              <w:rPr>
                <w:rFonts w:hint="eastAsia" w:ascii="Times New Roman" w:hAnsi="Times New Roman" w:cs="Times New Roman"/>
                <w:sz w:val="24"/>
                <w:szCs w:val="24"/>
              </w:rPr>
            </w:pPr>
          </w:p>
        </w:tc>
        <w:tc>
          <w:tcPr>
            <w:tcW w:w="114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4"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38"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bl>
    <w:p/>
    <w:p/>
    <w:tbl>
      <w:tblPr>
        <w:tblStyle w:val="6"/>
        <w:tblW w:w="846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6"/>
        <w:gridCol w:w="1240"/>
        <w:gridCol w:w="1065"/>
        <w:gridCol w:w="599"/>
        <w:gridCol w:w="1440"/>
        <w:gridCol w:w="1030"/>
        <w:gridCol w:w="822"/>
        <w:gridCol w:w="905"/>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4" w:hRule="atLeast"/>
        </w:trPr>
        <w:tc>
          <w:tcPr>
            <w:tcW w:w="8460" w:type="dxa"/>
            <w:gridSpan w:val="9"/>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color w:val="010205"/>
                <w:sz w:val="24"/>
                <w:szCs w:val="24"/>
              </w:rPr>
            </w:pPr>
            <w:r>
              <w:rPr>
                <w:rFonts w:hint="eastAsia" w:ascii="Times New Roman" w:hAnsi="Times New Roman" w:cs="Times New Roman"/>
                <w:b/>
                <w:bCs/>
                <w:color w:val="010205"/>
                <w:sz w:val="24"/>
                <w:szCs w:val="24"/>
              </w:rPr>
              <w:t>Coefficients</w:t>
            </w:r>
            <w:r>
              <w:rPr>
                <w:rFonts w:hint="eastAsia" w:ascii="Times New Roman" w:hAnsi="Times New Roman" w:cs="Times New Roman"/>
                <w:b/>
                <w:bCs/>
                <w:color w:val="010205"/>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trPr>
        <w:tc>
          <w:tcPr>
            <w:tcW w:w="1846" w:type="dxa"/>
            <w:gridSpan w:val="2"/>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1664"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Unstandardized Coefficients</w:t>
            </w:r>
          </w:p>
        </w:tc>
        <w:tc>
          <w:tcPr>
            <w:tcW w:w="144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Standardized Coefficients</w:t>
            </w:r>
          </w:p>
        </w:tc>
        <w:tc>
          <w:tcPr>
            <w:tcW w:w="1030"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w:t>
            </w:r>
          </w:p>
        </w:tc>
        <w:tc>
          <w:tcPr>
            <w:tcW w:w="822"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c>
          <w:tcPr>
            <w:tcW w:w="1658"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Collinearity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trPr>
        <w:tc>
          <w:tcPr>
            <w:tcW w:w="1846" w:type="dxa"/>
            <w:gridSpan w:val="2"/>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6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w:t>
            </w:r>
          </w:p>
        </w:tc>
        <w:tc>
          <w:tcPr>
            <w:tcW w:w="599"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Std. Error</w:t>
            </w:r>
          </w:p>
        </w:tc>
        <w:tc>
          <w:tcPr>
            <w:tcW w:w="144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Beta</w:t>
            </w:r>
          </w:p>
        </w:tc>
        <w:tc>
          <w:tcPr>
            <w:tcW w:w="1030"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22"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905"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Tolerance</w:t>
            </w:r>
          </w:p>
        </w:tc>
        <w:tc>
          <w:tcPr>
            <w:tcW w:w="753"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4" w:hRule="atLeast"/>
        </w:trPr>
        <w:tc>
          <w:tcPr>
            <w:tcW w:w="606"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1</w:t>
            </w:r>
          </w:p>
        </w:tc>
        <w:tc>
          <w:tcPr>
            <w:tcW w:w="124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(Constant)</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-.176</w:t>
            </w:r>
          </w:p>
        </w:tc>
        <w:tc>
          <w:tcPr>
            <w:tcW w:w="5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.151</w:t>
            </w:r>
          </w:p>
        </w:tc>
        <w:tc>
          <w:tcPr>
            <w:tcW w:w="1440"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-1.171</w:t>
            </w:r>
          </w:p>
        </w:tc>
        <w:tc>
          <w:tcPr>
            <w:tcW w:w="82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.243</w:t>
            </w:r>
          </w:p>
        </w:tc>
        <w:tc>
          <w:tcPr>
            <w:tcW w:w="905"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753"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trPr>
        <w:tc>
          <w:tcPr>
            <w:tcW w:w="60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24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MBVE</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.055</w:t>
            </w:r>
          </w:p>
        </w:tc>
        <w:tc>
          <w:tcPr>
            <w:tcW w:w="5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.022</w:t>
            </w:r>
          </w:p>
        </w:tc>
        <w:tc>
          <w:tcPr>
            <w:tcW w:w="144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.179</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2.428</w:t>
            </w:r>
          </w:p>
        </w:tc>
        <w:tc>
          <w:tcPr>
            <w:tcW w:w="82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.016</w:t>
            </w:r>
          </w:p>
        </w:tc>
        <w:tc>
          <w:tcPr>
            <w:tcW w:w="90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.908</w:t>
            </w:r>
          </w:p>
        </w:tc>
        <w:tc>
          <w:tcPr>
            <w:tcW w:w="75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trPr>
        <w:tc>
          <w:tcPr>
            <w:tcW w:w="60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24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CAPBVA</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-.021</w:t>
            </w:r>
          </w:p>
        </w:tc>
        <w:tc>
          <w:tcPr>
            <w:tcW w:w="5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.020</w:t>
            </w:r>
          </w:p>
        </w:tc>
        <w:tc>
          <w:tcPr>
            <w:tcW w:w="144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-.104</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-1.020</w:t>
            </w:r>
          </w:p>
        </w:tc>
        <w:tc>
          <w:tcPr>
            <w:tcW w:w="82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.309</w:t>
            </w:r>
          </w:p>
        </w:tc>
        <w:tc>
          <w:tcPr>
            <w:tcW w:w="90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.476</w:t>
            </w:r>
          </w:p>
        </w:tc>
        <w:tc>
          <w:tcPr>
            <w:tcW w:w="75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trPr>
        <w:tc>
          <w:tcPr>
            <w:tcW w:w="60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24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CSR</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-.038</w:t>
            </w:r>
          </w:p>
        </w:tc>
        <w:tc>
          <w:tcPr>
            <w:tcW w:w="5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.019</w:t>
            </w:r>
          </w:p>
        </w:tc>
        <w:tc>
          <w:tcPr>
            <w:tcW w:w="144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-.141</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-1.999</w:t>
            </w:r>
          </w:p>
        </w:tc>
        <w:tc>
          <w:tcPr>
            <w:tcW w:w="82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.047</w:t>
            </w:r>
          </w:p>
        </w:tc>
        <w:tc>
          <w:tcPr>
            <w:tcW w:w="90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.985</w:t>
            </w:r>
          </w:p>
        </w:tc>
        <w:tc>
          <w:tcPr>
            <w:tcW w:w="75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 w:hRule="atLeast"/>
        </w:trPr>
        <w:tc>
          <w:tcPr>
            <w:tcW w:w="606"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color w:val="010205"/>
                <w:sz w:val="24"/>
                <w:szCs w:val="24"/>
              </w:rPr>
            </w:pPr>
          </w:p>
        </w:tc>
        <w:tc>
          <w:tcPr>
            <w:tcW w:w="1240"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264A60"/>
                <w:sz w:val="24"/>
                <w:szCs w:val="24"/>
              </w:rPr>
            </w:pPr>
            <w:r>
              <w:rPr>
                <w:rFonts w:hint="eastAsia" w:ascii="Times New Roman" w:hAnsi="Times New Roman" w:cs="Times New Roman"/>
                <w:color w:val="264A60"/>
                <w:sz w:val="24"/>
                <w:szCs w:val="24"/>
              </w:rPr>
              <w:t>RISIKO BISNIS</w:t>
            </w:r>
          </w:p>
        </w:tc>
        <w:tc>
          <w:tcPr>
            <w:tcW w:w="106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.012</w:t>
            </w:r>
          </w:p>
        </w:tc>
        <w:tc>
          <w:tcPr>
            <w:tcW w:w="599"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.024</w:t>
            </w:r>
          </w:p>
        </w:tc>
        <w:tc>
          <w:tcPr>
            <w:tcW w:w="144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.049</w:t>
            </w:r>
          </w:p>
        </w:tc>
        <w:tc>
          <w:tcPr>
            <w:tcW w:w="103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.496</w:t>
            </w:r>
          </w:p>
        </w:tc>
        <w:tc>
          <w:tcPr>
            <w:tcW w:w="822"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.621</w:t>
            </w:r>
          </w:p>
        </w:tc>
        <w:tc>
          <w:tcPr>
            <w:tcW w:w="905"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.512</w:t>
            </w:r>
          </w:p>
        </w:tc>
        <w:tc>
          <w:tcPr>
            <w:tcW w:w="75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color w:val="010205"/>
                <w:sz w:val="24"/>
                <w:szCs w:val="24"/>
              </w:rPr>
            </w:pPr>
            <w:r>
              <w:rPr>
                <w:rFonts w:hint="eastAsia" w:ascii="Times New Roman" w:hAnsi="Times New Roman" w:cs="Times New Roman"/>
                <w:color w:val="010205"/>
                <w:sz w:val="24"/>
                <w:szCs w:val="24"/>
              </w:rPr>
              <w:t>1.953</w:t>
            </w:r>
          </w:p>
        </w:tc>
      </w:tr>
    </w:tbl>
    <w:p/>
    <w:tbl>
      <w:tblPr>
        <w:tblStyle w:val="6"/>
        <w:tblW w:w="6129" w:type="dxa"/>
        <w:tblInd w:w="13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1575"/>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129" w:type="dxa"/>
            <w:gridSpan w:val="3"/>
            <w:shd w:val="clear" w:color="auto" w:fill="auto"/>
            <w:vAlign w:val="center"/>
          </w:tcPr>
          <w:p>
            <w:pPr>
              <w:keepNext w:val="0"/>
              <w:keepLines w:val="0"/>
              <w:widowControl/>
              <w:suppressLineNumbers w:val="0"/>
              <w:spacing w:before="0" w:beforeAutospacing="0" w:after="0" w:afterAutospacing="0" w:line="240" w:lineRule="auto"/>
              <w:ind w:left="0" w:right="0" w:firstLine="0"/>
              <w:jc w:val="center"/>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One-Sample Kolmogorov-Smirnov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142"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575"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412" w:type="dxa"/>
            <w:shd w:val="clear" w:color="auto" w:fill="auto"/>
            <w:vAlign w:val="bottom"/>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Unstandardized Residual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w:t>
            </w: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Normal Parameters</w:t>
            </w:r>
            <w:r>
              <w:rPr>
                <w:rFonts w:hint="eastAsia" w:ascii="Times New Roman" w:hAnsi="Times New Roman" w:eastAsia="Times New Roman" w:cs="Times New Roman"/>
                <w:sz w:val="24"/>
                <w:szCs w:val="24"/>
                <w:vertAlign w:val="superscript"/>
              </w:rPr>
              <w:t>a,b</w:t>
            </w: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Mean</w:t>
            </w: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Std. Deviation</w:t>
            </w: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0.64973493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Most Extreme Differences</w:t>
            </w: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Absolute</w:t>
            </w: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Positive</w:t>
            </w: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Negative</w:t>
            </w: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Test Statistic</w:t>
            </w: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2"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Asymp. Sig. (2-tailed)</w:t>
            </w:r>
          </w:p>
        </w:tc>
        <w:tc>
          <w:tcPr>
            <w:tcW w:w="1575" w:type="dxa"/>
            <w:shd w:val="clear" w:color="000000" w:fill="CCCCFF"/>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p>
        </w:tc>
        <w:tc>
          <w:tcPr>
            <w:tcW w:w="2412" w:type="dxa"/>
            <w:shd w:val="clear" w:color="auto" w:fill="auto"/>
            <w:noWrap/>
          </w:tcPr>
          <w:p>
            <w:pPr>
              <w:keepNext w:val="0"/>
              <w:keepLines w:val="0"/>
              <w:widowControl/>
              <w:suppressLineNumbers w:val="0"/>
              <w:spacing w:before="0" w:beforeAutospacing="0" w:after="0" w:afterAutospacing="0" w:line="240" w:lineRule="auto"/>
              <w:ind w:left="0" w:right="0" w:firstLine="0"/>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,200</w:t>
            </w:r>
            <w:r>
              <w:rPr>
                <w:rFonts w:hint="eastAsia" w:ascii="Times New Roman" w:hAnsi="Times New Roman" w:eastAsia="Times New Roman" w:cs="Times New Roman"/>
                <w:sz w:val="24"/>
                <w:szCs w:val="24"/>
                <w:vertAlign w:val="superscript"/>
              </w:rPr>
              <w:t>c,d</w:t>
            </w:r>
          </w:p>
        </w:tc>
      </w:tr>
    </w:tbl>
    <w:p/>
    <w:tbl>
      <w:tblPr>
        <w:tblStyle w:val="6"/>
        <w:tblW w:w="7260" w:type="dxa"/>
        <w:tblInd w:w="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1326"/>
        <w:gridCol w:w="1141"/>
        <w:gridCol w:w="1143"/>
        <w:gridCol w:w="1260"/>
        <w:gridCol w:w="878"/>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4" w:hRule="atLeast"/>
        </w:trPr>
        <w:tc>
          <w:tcPr>
            <w:tcW w:w="7259" w:type="dxa"/>
            <w:gridSpan w:val="7"/>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60" w:right="60" w:firstLine="0"/>
              <w:jc w:val="center"/>
              <w:rPr>
                <w:rFonts w:hint="eastAsia" w:ascii="Times New Roman" w:hAnsi="Times New Roman" w:cs="Times New Roman"/>
                <w:sz w:val="24"/>
                <w:szCs w:val="24"/>
              </w:rPr>
            </w:pPr>
            <w:r>
              <w:rPr>
                <w:rFonts w:hint="eastAsia" w:ascii="Times New Roman" w:hAnsi="Times New Roman" w:cs="Times New Roman"/>
                <w:b/>
                <w:bCs/>
                <w:sz w:val="24"/>
                <w:szCs w:val="24"/>
              </w:rPr>
              <w:t>Coefficients</w:t>
            </w:r>
            <w:r>
              <w:rPr>
                <w:rFonts w:hint="eastAsia" w:ascii="Times New Roman" w:hAnsi="Times New Roman" w:cs="Times New Roman"/>
                <w:b/>
                <w:bCs/>
                <w:sz w:val="24"/>
                <w:szCs w:val="24"/>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0" w:hRule="atLeast"/>
        </w:trPr>
        <w:tc>
          <w:tcPr>
            <w:tcW w:w="1955" w:type="dxa"/>
            <w:gridSpan w:val="2"/>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Model</w:t>
            </w:r>
          </w:p>
        </w:tc>
        <w:tc>
          <w:tcPr>
            <w:tcW w:w="2284" w:type="dxa"/>
            <w:gridSpan w:val="2"/>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Unstandardized Coefficients</w:t>
            </w:r>
          </w:p>
        </w:tc>
        <w:tc>
          <w:tcPr>
            <w:tcW w:w="126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0"/>
                <w:szCs w:val="20"/>
              </w:rPr>
            </w:pPr>
            <w:r>
              <w:rPr>
                <w:rFonts w:hint="eastAsia" w:ascii="Times New Roman" w:hAnsi="Times New Roman" w:cs="Times New Roman"/>
                <w:sz w:val="20"/>
                <w:szCs w:val="20"/>
              </w:rPr>
              <w:t>Standardized Coefficients</w:t>
            </w:r>
          </w:p>
        </w:tc>
        <w:tc>
          <w:tcPr>
            <w:tcW w:w="878"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t</w:t>
            </w:r>
          </w:p>
        </w:tc>
        <w:tc>
          <w:tcPr>
            <w:tcW w:w="883" w:type="dxa"/>
            <w:vMerge w:val="restart"/>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 w:hRule="atLeast"/>
        </w:trPr>
        <w:tc>
          <w:tcPr>
            <w:tcW w:w="1955" w:type="dxa"/>
            <w:gridSpan w:val="2"/>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141"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w:t>
            </w:r>
          </w:p>
        </w:tc>
        <w:tc>
          <w:tcPr>
            <w:tcW w:w="1143"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Std. Error</w:t>
            </w:r>
          </w:p>
        </w:tc>
        <w:tc>
          <w:tcPr>
            <w:tcW w:w="1260" w:type="dxa"/>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Beta</w:t>
            </w:r>
          </w:p>
        </w:tc>
        <w:tc>
          <w:tcPr>
            <w:tcW w:w="878"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83" w:type="dxa"/>
            <w:vMerge w:val="continue"/>
            <w:shd w:val="clear" w:color="auto" w:fill="FFFFFF"/>
            <w:vAlign w:val="bottom"/>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4" w:hRule="atLeast"/>
        </w:trPr>
        <w:tc>
          <w:tcPr>
            <w:tcW w:w="629" w:type="dxa"/>
            <w:vMerge w:val="restart"/>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32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(Constant)</w:t>
            </w:r>
          </w:p>
        </w:tc>
        <w:tc>
          <w:tcPr>
            <w:tcW w:w="114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-.176</w:t>
            </w:r>
          </w:p>
        </w:tc>
        <w:tc>
          <w:tcPr>
            <w:tcW w:w="114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.151</w:t>
            </w:r>
          </w:p>
        </w:tc>
        <w:tc>
          <w:tcPr>
            <w:tcW w:w="1260" w:type="dxa"/>
            <w:shd w:val="clear" w:color="auto" w:fill="FFFFFF"/>
            <w:vAlign w:val="center"/>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87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-1.171</w:t>
            </w:r>
          </w:p>
        </w:tc>
        <w:tc>
          <w:tcPr>
            <w:tcW w:w="88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 w:hRule="atLeast"/>
        </w:trPr>
        <w:tc>
          <w:tcPr>
            <w:tcW w:w="629"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MBVE</w:t>
            </w:r>
          </w:p>
        </w:tc>
        <w:tc>
          <w:tcPr>
            <w:tcW w:w="114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.055</w:t>
            </w:r>
          </w:p>
        </w:tc>
        <w:tc>
          <w:tcPr>
            <w:tcW w:w="114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.022</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.179</w:t>
            </w:r>
          </w:p>
        </w:tc>
        <w:tc>
          <w:tcPr>
            <w:tcW w:w="87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2.428</w:t>
            </w:r>
          </w:p>
        </w:tc>
        <w:tc>
          <w:tcPr>
            <w:tcW w:w="88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 w:hRule="atLeast"/>
        </w:trPr>
        <w:tc>
          <w:tcPr>
            <w:tcW w:w="629"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CAPBVA</w:t>
            </w:r>
          </w:p>
        </w:tc>
        <w:tc>
          <w:tcPr>
            <w:tcW w:w="114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-.021</w:t>
            </w:r>
          </w:p>
        </w:tc>
        <w:tc>
          <w:tcPr>
            <w:tcW w:w="114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.020</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-.104</w:t>
            </w:r>
          </w:p>
        </w:tc>
        <w:tc>
          <w:tcPr>
            <w:tcW w:w="87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-1.020</w:t>
            </w:r>
          </w:p>
        </w:tc>
        <w:tc>
          <w:tcPr>
            <w:tcW w:w="88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 w:hRule="atLeast"/>
        </w:trPr>
        <w:tc>
          <w:tcPr>
            <w:tcW w:w="629"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CSR</w:t>
            </w:r>
          </w:p>
        </w:tc>
        <w:tc>
          <w:tcPr>
            <w:tcW w:w="114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-.038</w:t>
            </w:r>
          </w:p>
        </w:tc>
        <w:tc>
          <w:tcPr>
            <w:tcW w:w="114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.019</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-.141</w:t>
            </w:r>
          </w:p>
        </w:tc>
        <w:tc>
          <w:tcPr>
            <w:tcW w:w="87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-1.999</w:t>
            </w:r>
          </w:p>
        </w:tc>
        <w:tc>
          <w:tcPr>
            <w:tcW w:w="88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1" w:hRule="atLeast"/>
        </w:trPr>
        <w:tc>
          <w:tcPr>
            <w:tcW w:w="629" w:type="dxa"/>
            <w:vMerge w:val="continue"/>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0" w:right="0" w:firstLine="0"/>
              <w:rPr>
                <w:rFonts w:hint="eastAsia" w:ascii="Times New Roman" w:hAnsi="Times New Roman" w:cs="Times New Roman"/>
                <w:sz w:val="24"/>
                <w:szCs w:val="24"/>
              </w:rPr>
            </w:pPr>
          </w:p>
        </w:tc>
        <w:tc>
          <w:tcPr>
            <w:tcW w:w="1326" w:type="dxa"/>
            <w:shd w:val="clear" w:color="auto" w:fill="E0E0E0"/>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RISIKO BISNIS</w:t>
            </w:r>
          </w:p>
        </w:tc>
        <w:tc>
          <w:tcPr>
            <w:tcW w:w="1141"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.012</w:t>
            </w:r>
          </w:p>
        </w:tc>
        <w:tc>
          <w:tcPr>
            <w:tcW w:w="114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.024</w:t>
            </w:r>
          </w:p>
        </w:tc>
        <w:tc>
          <w:tcPr>
            <w:tcW w:w="1260"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.049</w:t>
            </w:r>
          </w:p>
        </w:tc>
        <w:tc>
          <w:tcPr>
            <w:tcW w:w="878"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.496</w:t>
            </w:r>
          </w:p>
        </w:tc>
        <w:tc>
          <w:tcPr>
            <w:tcW w:w="883" w:type="dxa"/>
            <w:shd w:val="clear" w:color="auto" w:fill="FFFFFF"/>
          </w:tcPr>
          <w:p>
            <w:pPr>
              <w:keepNext w:val="0"/>
              <w:keepLines w:val="0"/>
              <w:widowControl/>
              <w:suppressLineNumbers w:val="0"/>
              <w:autoSpaceDE w:val="0"/>
              <w:autoSpaceDN w:val="0"/>
              <w:adjustRightInd w:val="0"/>
              <w:spacing w:before="0" w:beforeAutospacing="0" w:after="0" w:afterAutospacing="0" w:line="240" w:lineRule="auto"/>
              <w:ind w:left="60" w:right="60" w:firstLine="0"/>
              <w:rPr>
                <w:rFonts w:hint="eastAsia" w:ascii="Times New Roman" w:hAnsi="Times New Roman" w:cs="Times New Roman"/>
                <w:sz w:val="24"/>
                <w:szCs w:val="24"/>
              </w:rPr>
            </w:pPr>
            <w:r>
              <w:rPr>
                <w:rFonts w:hint="eastAsia" w:ascii="Times New Roman" w:hAnsi="Times New Roman" w:cs="Times New Roman"/>
                <w:sz w:val="24"/>
                <w:szCs w:val="24"/>
              </w:rPr>
              <w:t>.621</w:t>
            </w:r>
          </w:p>
        </w:tc>
      </w:tr>
    </w:tbl>
    <w:p>
      <w:pPr>
        <w:spacing w:line="240" w:lineRule="auto"/>
        <w:ind w:firstLine="0"/>
        <w:jc w:val="left"/>
        <w:rPr>
          <w:lang w:val="id-ID"/>
        </w:rPr>
      </w:pPr>
      <w:r>
        <w:t xml:space="preserve"> </w:t>
      </w: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r>
        <w:drawing>
          <wp:inline distT="0" distB="0" distL="0" distR="0">
            <wp:extent cx="5037455" cy="6372860"/>
            <wp:effectExtent l="19050" t="0" r="0" b="0"/>
            <wp:docPr id="5" name="Picture 19" descr="C:\Users\Maya\AppData\Local\Microsoft\Windows\Temporary Internet Files\Content.Word\abstrak ind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Users\Maya\AppData\Local\Microsoft\Windows\Temporary Internet Files\Content.Word\abstrak indo_5.jpg"/>
                    <pic:cNvPicPr>
                      <a:picLocks noChangeAspect="1" noChangeArrowheads="1"/>
                    </pic:cNvPicPr>
                  </pic:nvPicPr>
                  <pic:blipFill>
                    <a:blip r:embed="rId30" cstate="print"/>
                    <a:srcRect/>
                    <a:stretch>
                      <a:fillRect/>
                    </a:stretch>
                  </pic:blipFill>
                  <pic:spPr>
                    <a:xfrm>
                      <a:off x="0" y="0"/>
                      <a:ext cx="5037455" cy="6373203"/>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r>
        <w:drawing>
          <wp:inline distT="0" distB="0" distL="0" distR="0">
            <wp:extent cx="5037455" cy="6819900"/>
            <wp:effectExtent l="19050" t="0" r="0" b="0"/>
            <wp:docPr id="22" name="Picture 22" descr="C:\Users\Maya\AppData\Local\Microsoft\Windows\Temporary Internet Files\Content.Word\abstrak indo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aya\AppData\Local\Microsoft\Windows\Temporary Internet Files\Content.Word\abstrak indo_7.jpg"/>
                    <pic:cNvPicPr>
                      <a:picLocks noChangeAspect="1" noChangeArrowheads="1"/>
                    </pic:cNvPicPr>
                  </pic:nvPicPr>
                  <pic:blipFill>
                    <a:blip r:embed="rId31"/>
                    <a:srcRect/>
                    <a:stretch>
                      <a:fillRect/>
                    </a:stretch>
                  </pic:blipFill>
                  <pic:spPr>
                    <a:xfrm>
                      <a:off x="0" y="0"/>
                      <a:ext cx="5037455" cy="6820515"/>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r>
        <w:drawing>
          <wp:inline distT="0" distB="0" distL="0" distR="0">
            <wp:extent cx="5037455" cy="6391910"/>
            <wp:effectExtent l="19050" t="0" r="0" b="0"/>
            <wp:docPr id="25" name="Picture 25" descr="C:\Users\Maya\AppData\Local\Microsoft\Windows\Temporary Internet Files\Content.Word\abstrak ind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Maya\AppData\Local\Microsoft\Windows\Temporary Internet Files\Content.Word\abstrak indo_6.jpg"/>
                    <pic:cNvPicPr>
                      <a:picLocks noChangeAspect="1" noChangeArrowheads="1"/>
                    </pic:cNvPicPr>
                  </pic:nvPicPr>
                  <pic:blipFill>
                    <a:blip r:embed="rId32" cstate="print"/>
                    <a:srcRect/>
                    <a:stretch>
                      <a:fillRect/>
                    </a:stretch>
                  </pic:blipFill>
                  <pic:spPr>
                    <a:xfrm>
                      <a:off x="0" y="0"/>
                      <a:ext cx="5037455" cy="6392100"/>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eastAsia="id-ID"/>
        </w:rPr>
      </w:pPr>
    </w:p>
    <w:p>
      <w:pPr>
        <w:spacing w:line="240" w:lineRule="auto"/>
        <w:ind w:firstLine="0"/>
        <w:jc w:val="left"/>
        <w:rPr>
          <w:lang w:val="id-ID" w:eastAsia="id-ID"/>
        </w:rPr>
      </w:pPr>
    </w:p>
    <w:p>
      <w:pPr>
        <w:spacing w:line="240" w:lineRule="auto"/>
        <w:ind w:firstLine="0"/>
        <w:jc w:val="left"/>
        <w:rPr>
          <w:lang w:val="id-ID"/>
        </w:rPr>
      </w:pPr>
      <w:r>
        <w:drawing>
          <wp:inline distT="0" distB="0" distL="0" distR="0">
            <wp:extent cx="5037455" cy="6811645"/>
            <wp:effectExtent l="19050" t="0" r="0" b="0"/>
            <wp:docPr id="28" name="Picture 28" descr="C:\Users\Maya\AppData\Local\Microsoft\Windows\Temporary Internet Files\Content.Word\abstrak ind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Maya\AppData\Local\Microsoft\Windows\Temporary Internet Files\Content.Word\abstrak indo_8.jpg"/>
                    <pic:cNvPicPr>
                      <a:picLocks noChangeAspect="1" noChangeArrowheads="1"/>
                    </pic:cNvPicPr>
                  </pic:nvPicPr>
                  <pic:blipFill>
                    <a:blip r:embed="rId33"/>
                    <a:srcRect/>
                    <a:stretch>
                      <a:fillRect/>
                    </a:stretch>
                  </pic:blipFill>
                  <pic:spPr>
                    <a:xfrm>
                      <a:off x="0" y="0"/>
                      <a:ext cx="5037455" cy="6812202"/>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r>
        <w:drawing>
          <wp:inline distT="0" distB="0" distL="0" distR="0">
            <wp:extent cx="5037455" cy="7387590"/>
            <wp:effectExtent l="19050" t="0" r="0" b="0"/>
            <wp:docPr id="34" name="Picture 34" descr="C:\Users\Maya\AppData\Local\Microsoft\Windows\Temporary Internet Files\Content.Word\abstrak ind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Maya\AppData\Local\Microsoft\Windows\Temporary Internet Files\Content.Word\abstrak indo_9.jpg"/>
                    <pic:cNvPicPr>
                      <a:picLocks noChangeAspect="1" noChangeArrowheads="1"/>
                    </pic:cNvPicPr>
                  </pic:nvPicPr>
                  <pic:blipFill>
                    <a:blip r:embed="rId34"/>
                    <a:srcRect/>
                    <a:stretch>
                      <a:fillRect/>
                    </a:stretch>
                  </pic:blipFill>
                  <pic:spPr>
                    <a:xfrm>
                      <a:off x="0" y="0"/>
                      <a:ext cx="5037455" cy="7387987"/>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r>
        <w:drawing>
          <wp:inline distT="0" distB="0" distL="0" distR="0">
            <wp:extent cx="5037455" cy="5678170"/>
            <wp:effectExtent l="19050" t="0" r="0" b="0"/>
            <wp:docPr id="37" name="Picture 37" descr="C:\Users\Maya\AppData\Local\Microsoft\Windows\Temporary Internet Files\Content.Word\abstrak ind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aya\AppData\Local\Microsoft\Windows\Temporary Internet Files\Content.Word\abstrak indo_10.jpg"/>
                    <pic:cNvPicPr>
                      <a:picLocks noChangeAspect="1" noChangeArrowheads="1"/>
                    </pic:cNvPicPr>
                  </pic:nvPicPr>
                  <pic:blipFill>
                    <a:blip r:embed="rId35" cstate="print"/>
                    <a:srcRect/>
                    <a:stretch>
                      <a:fillRect/>
                    </a:stretch>
                  </pic:blipFill>
                  <pic:spPr>
                    <a:xfrm>
                      <a:off x="0" y="0"/>
                      <a:ext cx="5037455" cy="5678510"/>
                    </a:xfrm>
                    <a:prstGeom prst="rect">
                      <a:avLst/>
                    </a:prstGeom>
                    <a:noFill/>
                    <a:ln w="9525">
                      <a:noFill/>
                      <a:miter lim="800000"/>
                      <a:headEnd/>
                      <a:tailEnd/>
                    </a:ln>
                  </pic:spPr>
                </pic:pic>
              </a:graphicData>
            </a:graphic>
          </wp:inline>
        </w:drawing>
      </w: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rPr>
          <w:lang w:val="id-ID"/>
        </w:rPr>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p>
    <w:p>
      <w:pPr>
        <w:spacing w:line="240" w:lineRule="auto"/>
        <w:ind w:firstLine="0"/>
        <w:jc w:val="left"/>
      </w:pPr>
      <w:r>
        <w:drawing>
          <wp:inline distT="0" distB="0" distL="0" distR="0">
            <wp:extent cx="5037455" cy="614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037455" cy="6146800"/>
                    </a:xfrm>
                    <a:prstGeom prst="rect">
                      <a:avLst/>
                    </a:prstGeom>
                  </pic:spPr>
                </pic:pic>
              </a:graphicData>
            </a:graphic>
          </wp:inline>
        </w:drawing>
      </w:r>
    </w:p>
    <w:p>
      <w:pPr>
        <w:spacing w:line="240" w:lineRule="auto"/>
        <w:ind w:firstLine="0"/>
        <w:jc w:val="left"/>
      </w:pPr>
    </w:p>
    <w:p>
      <w:pPr>
        <w:spacing w:line="240" w:lineRule="auto"/>
        <w:ind w:firstLine="0"/>
        <w:jc w:val="left"/>
      </w:pPr>
      <w:r>
        <w:drawing>
          <wp:inline distT="0" distB="0" distL="0" distR="0">
            <wp:extent cx="5037455" cy="6730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037455" cy="6730365"/>
                    </a:xfrm>
                    <a:prstGeom prst="rect">
                      <a:avLst/>
                    </a:prstGeom>
                  </pic:spPr>
                </pic:pic>
              </a:graphicData>
            </a:graphic>
          </wp:inline>
        </w:drawing>
      </w:r>
    </w:p>
    <w:p>
      <w:pPr>
        <w:spacing w:line="240" w:lineRule="auto"/>
        <w:ind w:firstLine="0"/>
        <w:jc w:val="left"/>
        <w:rPr>
          <w:lang w:val="id-ID"/>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r>
        <w:rPr>
          <w:rFonts w:ascii="Times New Roman" w:hAnsi="Times New Roman" w:cs="Times New Roman"/>
          <w:sz w:val="28"/>
          <w:szCs w:val="28"/>
        </w:rPr>
        <w:t>CURICULUM VITAE</w:t>
      </w:r>
    </w:p>
    <w:p>
      <w:pPr>
        <w:pStyle w:val="23"/>
        <w:numPr>
          <w:ilvl w:val="0"/>
          <w:numId w:val="70"/>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Identitas Pribadi</w:t>
      </w:r>
    </w:p>
    <w:p>
      <w:pPr>
        <w:spacing w:line="24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700224" behindDoc="0" locked="0" layoutInCell="1" allowOverlap="1">
            <wp:simplePos x="0" y="0"/>
            <wp:positionH relativeFrom="column">
              <wp:align>left</wp:align>
            </wp:positionH>
            <wp:positionV relativeFrom="paragraph">
              <wp:align>top</wp:align>
            </wp:positionV>
            <wp:extent cx="1438275" cy="2162175"/>
            <wp:effectExtent l="19050" t="0" r="9525" b="0"/>
            <wp:wrapSquare wrapText="bothSides"/>
            <wp:docPr id="6" name="Picture 1" descr="C:\Users\Maya\AppData\Local\Temp\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Maya\AppData\Local\Temp\4X6.jpg"/>
                    <pic:cNvPicPr>
                      <a:picLocks noChangeAspect="1" noChangeArrowheads="1"/>
                    </pic:cNvPicPr>
                  </pic:nvPicPr>
                  <pic:blipFill>
                    <a:blip r:embed="rId38" cstate="print"/>
                    <a:srcRect/>
                    <a:stretch>
                      <a:fillRect/>
                    </a:stretch>
                  </pic:blipFill>
                  <pic:spPr>
                    <a:xfrm>
                      <a:off x="0" y="0"/>
                      <a:ext cx="1438275" cy="2162175"/>
                    </a:xfrm>
                    <a:prstGeom prst="rect">
                      <a:avLst/>
                    </a:prstGeom>
                    <a:noFill/>
                    <a:ln w="9525">
                      <a:noFill/>
                      <a:miter lim="800000"/>
                      <a:headEnd/>
                      <a:tailEnd/>
                    </a:ln>
                  </pic:spPr>
                </pic:pic>
              </a:graphicData>
            </a:graphic>
          </wp:anchor>
        </w:drawing>
      </w: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Widyawati Malanua</w:t>
      </w:r>
    </w:p>
    <w:p>
      <w:pPr>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E21.17.135</w:t>
      </w:r>
    </w:p>
    <w:p>
      <w:pPr>
        <w:spacing w:line="240" w:lineRule="auto"/>
        <w:rPr>
          <w:rFonts w:ascii="Times New Roman" w:hAnsi="Times New Roman" w:cs="Times New Roman"/>
          <w:sz w:val="24"/>
          <w:szCs w:val="24"/>
        </w:rPr>
      </w:pPr>
      <w:r>
        <w:rPr>
          <w:rFonts w:ascii="Times New Roman" w:hAnsi="Times New Roman" w:cs="Times New Roman"/>
          <w:sz w:val="24"/>
          <w:szCs w:val="24"/>
        </w:rPr>
        <w:t>Tempat/Tgl.Lahir</w:t>
      </w:r>
      <w:r>
        <w:rPr>
          <w:rFonts w:ascii="Times New Roman" w:hAnsi="Times New Roman" w:cs="Times New Roman"/>
          <w:sz w:val="24"/>
          <w:szCs w:val="24"/>
        </w:rPr>
        <w:tab/>
      </w:r>
      <w:r>
        <w:rPr>
          <w:rFonts w:ascii="Times New Roman" w:hAnsi="Times New Roman" w:cs="Times New Roman"/>
          <w:sz w:val="24"/>
          <w:szCs w:val="24"/>
        </w:rPr>
        <w:t>: Gorontalo, 04-09-1997</w:t>
      </w:r>
    </w:p>
    <w:p>
      <w:pPr>
        <w:spacing w:line="24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Perempuan</w:t>
      </w:r>
    </w:p>
    <w:p>
      <w:pPr>
        <w:spacing w:line="240" w:lineRule="auto"/>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2017</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Ekonomi</w:t>
      </w:r>
    </w:p>
    <w:p>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 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Manajemen</w:t>
      </w:r>
    </w:p>
    <w:p>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 Kosentrasi</w:t>
      </w:r>
      <w:r>
        <w:rPr>
          <w:rFonts w:ascii="Times New Roman" w:hAnsi="Times New Roman" w:cs="Times New Roman"/>
          <w:sz w:val="24"/>
          <w:szCs w:val="24"/>
        </w:rPr>
        <w:tab/>
      </w:r>
      <w:r>
        <w:rPr>
          <w:rFonts w:ascii="Times New Roman" w:hAnsi="Times New Roman" w:cs="Times New Roman"/>
          <w:sz w:val="24"/>
          <w:szCs w:val="24"/>
        </w:rPr>
        <w:t xml:space="preserve">            : Manajemen Keuangan</w:t>
      </w:r>
    </w:p>
    <w:p>
      <w:pPr>
        <w:spacing w:line="240" w:lineRule="auto"/>
        <w:ind w:left="2160"/>
        <w:rPr>
          <w:rFonts w:ascii="Times New Roman" w:hAnsi="Times New Roman" w:cs="Times New Roman"/>
          <w:sz w:val="24"/>
          <w:szCs w:val="24"/>
        </w:rPr>
      </w:pPr>
      <w:r>
        <w:rPr>
          <w:rFonts w:ascii="Times New Roman" w:hAnsi="Times New Roman" w:cs="Times New Roman"/>
          <w:sz w:val="24"/>
          <w:szCs w:val="24"/>
        </w:rPr>
        <w:t xml:space="preserve">      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Islam</w:t>
      </w:r>
    </w:p>
    <w:p>
      <w:pPr>
        <w:spacing w:line="240" w:lineRule="auto"/>
        <w:ind w:left="2552" w:hanging="392"/>
        <w:rPr>
          <w:rFonts w:ascii="Times New Roman" w:hAnsi="Times New Roman" w:cs="Times New Roman"/>
          <w:sz w:val="24"/>
          <w:szCs w:val="24"/>
        </w:rPr>
      </w:pPr>
      <w:r>
        <w:rPr>
          <w:rFonts w:ascii="Times New Roman" w:hAnsi="Times New Roman" w:cs="Times New Roman"/>
          <w:sz w:val="24"/>
          <w:szCs w:val="24"/>
        </w:rPr>
        <w:t xml:space="preserve">      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Mamungaa, Kel. Mamungaa,Kec. Bulawa</w:t>
      </w:r>
    </w:p>
    <w:p>
      <w:pPr>
        <w:pStyle w:val="23"/>
        <w:numPr>
          <w:ilvl w:val="0"/>
          <w:numId w:val="71"/>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Riwayat Pendidikan</w:t>
      </w:r>
    </w:p>
    <w:p>
      <w:pPr>
        <w:pStyle w:val="23"/>
        <w:numPr>
          <w:ilvl w:val="0"/>
          <w:numId w:val="72"/>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Pendidikan Formal</w:t>
      </w:r>
    </w:p>
    <w:p>
      <w:pPr>
        <w:pStyle w:val="23"/>
        <w:numPr>
          <w:ilvl w:val="0"/>
          <w:numId w:val="73"/>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Bersekolah Di SD Impres Pauwo, Kabupaten Bone Bolango</w:t>
      </w:r>
    </w:p>
    <w:p>
      <w:pPr>
        <w:pStyle w:val="23"/>
        <w:numPr>
          <w:ilvl w:val="0"/>
          <w:numId w:val="73"/>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Kemudian Melanjutkan Ke Jenjang Pertama Di SMP Negeri  11 Gorontalo, Kota Gorontalo</w:t>
      </w:r>
    </w:p>
    <w:p>
      <w:pPr>
        <w:pStyle w:val="23"/>
        <w:numPr>
          <w:ilvl w:val="0"/>
          <w:numId w:val="73"/>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Selanjutnya Menyelesaikan Belajar Di SMK Negeri 2 Gorontalo, Kota Gorontalo</w:t>
      </w:r>
    </w:p>
    <w:p>
      <w:pPr>
        <w:pStyle w:val="23"/>
        <w:numPr>
          <w:ilvl w:val="0"/>
          <w:numId w:val="73"/>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Dan Melanjutkan Pendidikan Tinggi Di Universitas Ichsan Gorontalo, Mengambil Jurusan Manajemen Di Fakultas Ekonomi</w:t>
      </w:r>
    </w:p>
    <w:p>
      <w:pPr>
        <w:pStyle w:val="23"/>
        <w:numPr>
          <w:ilvl w:val="0"/>
          <w:numId w:val="72"/>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Pendidikan Non Formal</w:t>
      </w:r>
    </w:p>
    <w:p>
      <w:pPr>
        <w:pStyle w:val="23"/>
        <w:numPr>
          <w:ilvl w:val="0"/>
          <w:numId w:val="74"/>
        </w:numPr>
        <w:spacing w:after="160" w:line="240" w:lineRule="auto"/>
        <w:ind w:right="-113"/>
        <w:jc w:val="left"/>
        <w:rPr>
          <w:rFonts w:ascii="Times New Roman" w:hAnsi="Times New Roman" w:cs="Times New Roman"/>
          <w:sz w:val="24"/>
          <w:szCs w:val="24"/>
        </w:rPr>
      </w:pPr>
      <w:r>
        <w:rPr>
          <w:rFonts w:ascii="Times New Roman" w:hAnsi="Times New Roman" w:cs="Times New Roman"/>
          <w:sz w:val="24"/>
          <w:szCs w:val="24"/>
        </w:rPr>
        <w:t>Mengikuti Kuliah Kerja Lapangan Pengabdian Technoprenuer (Kklp Technoprenuer) Di Desa Tolotio, Kec. Tibawa, Kab. Gorontalo</w:t>
      </w:r>
    </w:p>
    <w:p>
      <w:pPr>
        <w:spacing w:line="240" w:lineRule="auto"/>
        <w:ind w:firstLine="0"/>
        <w:jc w:val="left"/>
        <w:rPr>
          <w:lang w:val="id-ID"/>
        </w:rPr>
      </w:pPr>
    </w:p>
    <w:sectPr>
      <w:pgSz w:w="11907" w:h="16840"/>
      <w:pgMar w:top="2250" w:right="1699" w:bottom="1699" w:left="2275" w:header="1728" w:footer="1728" w:gutter="0"/>
      <w:pgNumType w:start="138"/>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Calibri">
    <w:panose1 w:val="020F0502020204030204"/>
    <w:charset w:val="86"/>
    <w:family w:val="auto"/>
    <w:pitch w:val="default"/>
    <w:sig w:usb0="E00002FF" w:usb1="4000ACFF" w:usb2="00000001" w:usb3="00000000" w:csb0="2000019F" w:csb1="00000000"/>
  </w:font>
  <w:font w:name="Gulim">
    <w:panose1 w:val="020B0600000101010101"/>
    <w:charset w:val="81"/>
    <w:family w:val="auto"/>
    <w:pitch w:val="default"/>
    <w:sig w:usb0="B00002AF" w:usb1="69D77CFB" w:usb2="00000030" w:usb3="00000000" w:csb0="4008009F" w:csb1="DFD70000"/>
  </w:font>
  <w:font w:name="Cambria Math">
    <w:panose1 w:val="02040503050406030204"/>
    <w:charset w:val="01"/>
    <w:family w:val="auto"/>
    <w:pitch w:val="variable"/>
    <w:sig w:usb0="E00002FF" w:usb1="420024FF" w:usb2="00000000"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9744371"/>
      <w:docPartObj>
        <w:docPartGallery w:val="autotext"/>
      </w:docPartObj>
    </w:sdtPr>
    <w:sdtContent>
      <w:p>
        <w:pPr>
          <w:pStyle w:val="9"/>
          <w:jc w:val="center"/>
        </w:pPr>
        <w:r>
          <w:fldChar w:fldCharType="begin"/>
        </w:r>
        <w:r>
          <w:instrText xml:space="preserve"> PAGE   \* MERGEFORMAT </w:instrText>
        </w:r>
        <w:r>
          <w:fldChar w:fldCharType="separate"/>
        </w:r>
        <w:r>
          <w:t>1</w:t>
        </w:r>
        <w:r>
          <w:fldChar w:fldCharType="end"/>
        </w:r>
      </w:p>
    </w:sdtContent>
  </w:sdt>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sdt>
      <w:sdtPr>
        <w:id w:val="791706478"/>
        <w:docPartObj>
          <w:docPartGallery w:val="autotext"/>
        </w:docPartObj>
      </w:sdtPr>
      <w:sdtContent>
        <w:r>
          <w:t>16</w:t>
        </w:r>
      </w:sdtContent>
    </w:sdt>
  </w:p>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ind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8505960"/>
      <w:docPartObj>
        <w:docPartGallery w:val="autotext"/>
      </w:docPartObj>
    </w:sdtPr>
    <w:sdtContent>
      <w:p>
        <w:pPr>
          <w:pStyle w:val="9"/>
          <w:jc w:val="center"/>
        </w:pPr>
        <w:r>
          <w:fldChar w:fldCharType="begin"/>
        </w:r>
        <w:r>
          <w:instrText xml:space="preserve"> PAGE   \* MERGEFORMAT </w:instrText>
        </w:r>
        <w:r>
          <w:fldChar w:fldCharType="separate"/>
        </w:r>
        <w:r>
          <w:t>138</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1068075"/>
      <w:docPartObj>
        <w:docPartGallery w:val="autotext"/>
      </w:docPartObj>
    </w:sdtPr>
    <w:sdtContent>
      <w:p>
        <w:pPr>
          <w:pStyle w:val="10"/>
          <w:jc w:val="right"/>
        </w:pPr>
        <w:r>
          <w:fldChar w:fldCharType="begin"/>
        </w:r>
        <w:r>
          <w:instrText xml:space="preserve"> PAGE   \* MERGEFORMAT </w:instrText>
        </w:r>
        <w:r>
          <w:fldChar w:fldCharType="separate"/>
        </w:r>
        <w:r>
          <w:t>8</w:t>
        </w:r>
        <w:r>
          <w:fldChar w:fldCharType="end"/>
        </w:r>
      </w:p>
    </w:sdtContent>
  </w:sdt>
  <w:p>
    <w:pPr>
      <w:pStyle w:val="10"/>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9782873"/>
      <w:docPartObj>
        <w:docPartGallery w:val="autotext"/>
      </w:docPartObj>
    </w:sdtPr>
    <w:sdtContent>
      <w:p>
        <w:pPr>
          <w:pStyle w:val="10"/>
          <w:jc w:val="right"/>
        </w:pPr>
        <w:r>
          <w:fldChar w:fldCharType="begin"/>
        </w:r>
        <w:r>
          <w:instrText xml:space="preserve"> PAGE   \* MERGEFORMAT </w:instrText>
        </w:r>
        <w:r>
          <w:fldChar w:fldCharType="separate"/>
        </w:r>
        <w:r>
          <w:t>47</w:t>
        </w:r>
        <w:r>
          <w:fldChar w:fldCharType="end"/>
        </w:r>
      </w:p>
    </w:sdtContent>
  </w:sdt>
  <w:p>
    <w:pPr>
      <w:pStyle w:val="10"/>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8505915"/>
      <w:docPartObj>
        <w:docPartGallery w:val="autotext"/>
      </w:docPartObj>
    </w:sdtPr>
    <w:sdtContent>
      <w:p>
        <w:pPr>
          <w:pStyle w:val="10"/>
          <w:jc w:val="right"/>
        </w:pPr>
        <w:r>
          <w:fldChar w:fldCharType="begin"/>
        </w:r>
        <w:r>
          <w:instrText xml:space="preserve"> PAGE   \* MERGEFORMAT </w:instrText>
        </w:r>
        <w:r>
          <w:fldChar w:fldCharType="separate"/>
        </w:r>
        <w:r>
          <w:t>203</w:t>
        </w:r>
        <w:r>
          <w:fldChar w:fldCharType="end"/>
        </w:r>
      </w:p>
    </w:sdtContent>
  </w:sdt>
  <w:p>
    <w:pPr>
      <w:pStyle w:val="10"/>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C4F60"/>
    <w:multiLevelType w:val="multilevel"/>
    <w:tmpl w:val="006C4F60"/>
    <w:lvl w:ilvl="0" w:tentative="0">
      <w:start w:val="1"/>
      <w:numFmt w:val="lowerLetter"/>
      <w:lvlText w:val="%1."/>
      <w:lvlJc w:val="left"/>
      <w:pPr>
        <w:ind w:left="1080" w:hanging="360"/>
      </w:pPr>
      <w:rPr>
        <w:rFonts w:hint="default" w:ascii="Arial" w:hAnsi="Arial" w:cs="Arial" w:eastAsiaTheme="minorHAnsi"/>
        <w:color w:val="auto"/>
        <w:sz w:val="23"/>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54142B5"/>
    <w:multiLevelType w:val="multilevel"/>
    <w:tmpl w:val="054142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66A2F4C"/>
    <w:multiLevelType w:val="multilevel"/>
    <w:tmpl w:val="066A2F4C"/>
    <w:lvl w:ilvl="0" w:tentative="0">
      <w:start w:val="1"/>
      <w:numFmt w:val="lowerLetter"/>
      <w:lvlText w:val="%1."/>
      <w:lvlJc w:val="left"/>
      <w:pPr>
        <w:ind w:left="1080" w:hanging="360"/>
      </w:pPr>
      <w:rPr>
        <w:rFonts w:hint="default" w:ascii="Arial" w:hAnsi="Arial" w:cs="Arial" w:eastAsiaTheme="minorHAnsi"/>
        <w:color w:val="auto"/>
        <w:sz w:val="23"/>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082D628F"/>
    <w:multiLevelType w:val="multilevel"/>
    <w:tmpl w:val="082D628F"/>
    <w:lvl w:ilvl="0" w:tentative="0">
      <w:start w:val="1"/>
      <w:numFmt w:val="lowerLetter"/>
      <w:lvlText w:val="%1."/>
      <w:lvlJc w:val="left"/>
      <w:pPr>
        <w:ind w:left="1080" w:hanging="360"/>
      </w:pPr>
      <w:rPr>
        <w:rFonts w:hint="default" w:ascii="Arial" w:hAnsi="Arial" w:cs="Arial" w:eastAsiaTheme="minorHAnsi"/>
        <w:color w:val="auto"/>
        <w:sz w:val="23"/>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95D5374"/>
    <w:multiLevelType w:val="multilevel"/>
    <w:tmpl w:val="095D5374"/>
    <w:lvl w:ilvl="0" w:tentative="0">
      <w:start w:val="1"/>
      <w:numFmt w:val="lowerLetter"/>
      <w:lvlText w:val="%1."/>
      <w:lvlJc w:val="left"/>
      <w:pPr>
        <w:ind w:left="1080" w:hanging="360"/>
      </w:pPr>
      <w:rPr>
        <w:rFonts w:hint="default" w:ascii="Arial" w:hAnsi="Arial" w:cs="Arial" w:eastAsiaTheme="minorHAnsi"/>
        <w:color w:val="auto"/>
        <w:sz w:val="23"/>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098A362D"/>
    <w:multiLevelType w:val="multilevel"/>
    <w:tmpl w:val="098A362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CFF54AA"/>
    <w:multiLevelType w:val="multilevel"/>
    <w:tmpl w:val="0CFF54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1F51F2B"/>
    <w:multiLevelType w:val="multilevel"/>
    <w:tmpl w:val="11F51F2B"/>
    <w:lvl w:ilvl="0" w:tentative="0">
      <w:start w:val="1"/>
      <w:numFmt w:val="lowerLetter"/>
      <w:lvlText w:val="%1."/>
      <w:lvlJc w:val="left"/>
      <w:pPr>
        <w:ind w:left="720" w:hanging="360"/>
      </w:pPr>
      <w:rPr>
        <w:rFonts w:ascii="Times New Roman" w:hAnsi="Times New Roman" w:cs="Times New Roman" w:eastAsiaTheme="minorHAns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2614B0E"/>
    <w:multiLevelType w:val="multilevel"/>
    <w:tmpl w:val="12614B0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29E5E0F"/>
    <w:multiLevelType w:val="multilevel"/>
    <w:tmpl w:val="129E5E0F"/>
    <w:lvl w:ilvl="0" w:tentative="0">
      <w:start w:val="1"/>
      <w:numFmt w:val="lowerLetter"/>
      <w:lvlText w:val="%1."/>
      <w:lvlJc w:val="left"/>
      <w:pPr>
        <w:ind w:left="480" w:hanging="480"/>
      </w:pPr>
    </w:lvl>
    <w:lvl w:ilvl="1" w:tentative="0">
      <w:start w:val="2"/>
      <w:numFmt w:val="decimal"/>
      <w:lvlText w:val="%1.%2"/>
      <w:lvlJc w:val="left"/>
      <w:pPr>
        <w:ind w:left="480" w:hanging="480"/>
      </w:pPr>
    </w:lvl>
    <w:lvl w:ilvl="2" w:tentative="0">
      <w:start w:val="2"/>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10">
    <w:nsid w:val="132E1075"/>
    <w:multiLevelType w:val="multilevel"/>
    <w:tmpl w:val="132E1075"/>
    <w:lvl w:ilvl="0" w:tentative="0">
      <w:start w:val="3"/>
      <w:numFmt w:val="decimal"/>
      <w:lvlText w:val="%1"/>
      <w:lvlJc w:val="left"/>
      <w:pPr>
        <w:ind w:left="480" w:hanging="480"/>
      </w:pPr>
    </w:lvl>
    <w:lvl w:ilvl="1" w:tentative="0">
      <w:start w:val="2"/>
      <w:numFmt w:val="decimal"/>
      <w:lvlText w:val="%1.%2"/>
      <w:lvlJc w:val="left"/>
      <w:pPr>
        <w:ind w:left="480" w:hanging="480"/>
      </w:pPr>
    </w:lvl>
    <w:lvl w:ilvl="2" w:tentative="0">
      <w:start w:val="2"/>
      <w:numFmt w:val="decimal"/>
      <w:lvlText w:val="%1.%2.%3"/>
      <w:lvlJc w:val="left"/>
      <w:pPr>
        <w:ind w:left="720" w:hanging="720"/>
      </w:pPr>
      <w:rPr>
        <w:b/>
      </w:r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11">
    <w:nsid w:val="18BC10E3"/>
    <w:multiLevelType w:val="multilevel"/>
    <w:tmpl w:val="18BC10E3"/>
    <w:lvl w:ilvl="0" w:tentative="0">
      <w:start w:val="1"/>
      <w:numFmt w:val="decimal"/>
      <w:lvlText w:val="%1."/>
      <w:lvlJc w:val="left"/>
      <w:pPr>
        <w:ind w:left="720" w:hanging="360"/>
      </w:pPr>
      <w:rPr>
        <w:rFonts w:hint="default" w:ascii="Times New Roman" w:hAnsi="Times New Roman" w:cs="Times New Roman"/>
        <w:i w:val="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94A6082"/>
    <w:multiLevelType w:val="multilevel"/>
    <w:tmpl w:val="194A608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A46221D"/>
    <w:multiLevelType w:val="multilevel"/>
    <w:tmpl w:val="1A46221D"/>
    <w:lvl w:ilvl="0" w:tentative="0">
      <w:start w:val="1"/>
      <w:numFmt w:val="decimal"/>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D4F248C"/>
    <w:multiLevelType w:val="multilevel"/>
    <w:tmpl w:val="1D4F248C"/>
    <w:lvl w:ilvl="0" w:tentative="0">
      <w:start w:val="4"/>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5">
    <w:nsid w:val="1D686488"/>
    <w:multiLevelType w:val="multilevel"/>
    <w:tmpl w:val="1D68648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
    <w:nsid w:val="1EC94E1E"/>
    <w:multiLevelType w:val="multilevel"/>
    <w:tmpl w:val="1EC94E1E"/>
    <w:lvl w:ilvl="0" w:tentative="0">
      <w:start w:val="1"/>
      <w:numFmt w:val="decimal"/>
      <w:lvlText w:val="%1."/>
      <w:lvlJc w:val="left"/>
      <w:pPr>
        <w:ind w:left="720" w:hanging="360"/>
      </w:pPr>
      <w:rPr>
        <w:rFonts w:hint="default" w:ascii="Arial" w:hAnsi="Arial" w:cs="Arial"/>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1F220EA2"/>
    <w:multiLevelType w:val="multilevel"/>
    <w:tmpl w:val="1F220EA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F3031DD"/>
    <w:multiLevelType w:val="multilevel"/>
    <w:tmpl w:val="1F3031DD"/>
    <w:lvl w:ilvl="0" w:tentative="0">
      <w:start w:val="1"/>
      <w:numFmt w:val="lowerLetter"/>
      <w:lvlText w:val="%1."/>
      <w:lvlJc w:val="left"/>
      <w:pPr>
        <w:ind w:left="1080" w:hanging="360"/>
      </w:pPr>
      <w:rPr>
        <w:rFonts w:hint="default"/>
      </w:rPr>
    </w:lvl>
    <w:lvl w:ilvl="1" w:tentative="0">
      <w:start w:val="1"/>
      <w:numFmt w:val="decimal"/>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2170083E"/>
    <w:multiLevelType w:val="multilevel"/>
    <w:tmpl w:val="2170083E"/>
    <w:lvl w:ilvl="0" w:tentative="0">
      <w:start w:val="1"/>
      <w:numFmt w:val="decimal"/>
      <w:lvlText w:val="%1."/>
      <w:lvlJc w:val="left"/>
      <w:pPr>
        <w:ind w:left="720" w:hanging="360"/>
      </w:pPr>
      <w:rPr>
        <w:rFonts w:hint="default"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21BF58C6"/>
    <w:multiLevelType w:val="multilevel"/>
    <w:tmpl w:val="21BF58C6"/>
    <w:lvl w:ilvl="0" w:tentative="0">
      <w:start w:val="1"/>
      <w:numFmt w:val="lowerLetter"/>
      <w:lvlText w:val="%1."/>
      <w:lvlJc w:val="left"/>
      <w:pPr>
        <w:ind w:left="720" w:hanging="360"/>
      </w:pPr>
      <w:rPr>
        <w:rFonts w:ascii="Arial" w:hAnsi="Arial" w:cs="Arial" w:eastAsiaTheme="minorHAnsi"/>
        <w:color w:val="auto"/>
        <w:sz w:val="2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223747C3"/>
    <w:multiLevelType w:val="multilevel"/>
    <w:tmpl w:val="223747C3"/>
    <w:lvl w:ilvl="0" w:tentative="0">
      <w:start w:val="1"/>
      <w:numFmt w:val="decimal"/>
      <w:lvlText w:val="%1."/>
      <w:lvlJc w:val="left"/>
      <w:pPr>
        <w:ind w:left="720" w:hanging="360"/>
      </w:pPr>
    </w:lvl>
    <w:lvl w:ilvl="1" w:tentative="0">
      <w:start w:val="1"/>
      <w:numFmt w:val="decimal"/>
      <w:isLgl/>
      <w:lvlText w:val="%1.%2"/>
      <w:lvlJc w:val="left"/>
      <w:pPr>
        <w:ind w:left="1080" w:hanging="36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240" w:hanging="108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320" w:hanging="1440"/>
      </w:pPr>
      <w:rPr>
        <w:rFonts w:hint="default"/>
      </w:rPr>
    </w:lvl>
    <w:lvl w:ilvl="8" w:tentative="0">
      <w:start w:val="1"/>
      <w:numFmt w:val="decimal"/>
      <w:isLgl/>
      <w:lvlText w:val="%1.%2.%3.%4.%5.%6.%7.%8.%9"/>
      <w:lvlJc w:val="left"/>
      <w:pPr>
        <w:ind w:left="5040" w:hanging="1800"/>
      </w:pPr>
      <w:rPr>
        <w:rFonts w:hint="default"/>
      </w:rPr>
    </w:lvl>
  </w:abstractNum>
  <w:abstractNum w:abstractNumId="22">
    <w:nsid w:val="22612685"/>
    <w:multiLevelType w:val="multilevel"/>
    <w:tmpl w:val="22612685"/>
    <w:lvl w:ilvl="0" w:tentative="0">
      <w:start w:val="1"/>
      <w:numFmt w:val="decimal"/>
      <w:lvlText w:val="%1."/>
      <w:lvlJc w:val="left"/>
      <w:pPr>
        <w:ind w:left="720" w:hanging="360"/>
      </w:pPr>
      <w:rPr>
        <w:rFonts w:hint="default" w:ascii="Arial" w:hAnsi="Arial" w:cs="Arial" w:eastAsiaTheme="minorHAnsi"/>
        <w:color w:val="auto"/>
        <w:sz w:val="2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5F1466D"/>
    <w:multiLevelType w:val="multilevel"/>
    <w:tmpl w:val="25F1466D"/>
    <w:lvl w:ilvl="0" w:tentative="0">
      <w:start w:val="1"/>
      <w:numFmt w:val="decimal"/>
      <w:lvlText w:val="%1."/>
      <w:lvlJc w:val="left"/>
      <w:pPr>
        <w:ind w:left="720" w:hanging="360"/>
      </w:pPr>
      <w:rPr>
        <w:rFonts w:hint="default" w:ascii="Arial" w:hAnsi="Arial" w:cs="Arial"/>
        <w:sz w:val="20"/>
      </w:rPr>
    </w:lvl>
    <w:lvl w:ilvl="1" w:tentative="0">
      <w:start w:val="6"/>
      <w:numFmt w:val="decimal"/>
      <w:isLgl/>
      <w:lvlText w:val="%1.%2"/>
      <w:lvlJc w:val="left"/>
      <w:pPr>
        <w:ind w:left="1650" w:hanging="480"/>
      </w:pPr>
      <w:rPr>
        <w:rFonts w:hint="default"/>
      </w:rPr>
    </w:lvl>
    <w:lvl w:ilvl="2" w:tentative="0">
      <w:start w:val="5"/>
      <w:numFmt w:val="decimal"/>
      <w:isLgl/>
      <w:lvlText w:val="%1.%2.%3"/>
      <w:lvlJc w:val="left"/>
      <w:pPr>
        <w:ind w:left="810" w:hanging="720"/>
      </w:pPr>
      <w:rPr>
        <w:rFonts w:hint="default"/>
      </w:rPr>
    </w:lvl>
    <w:lvl w:ilvl="3" w:tentative="0">
      <w:start w:val="1"/>
      <w:numFmt w:val="decimal"/>
      <w:isLgl/>
      <w:lvlText w:val="%1.%2.%3.%4"/>
      <w:lvlJc w:val="left"/>
      <w:pPr>
        <w:ind w:left="3510" w:hanging="720"/>
      </w:pPr>
      <w:rPr>
        <w:rFonts w:hint="default"/>
      </w:rPr>
    </w:lvl>
    <w:lvl w:ilvl="4" w:tentative="0">
      <w:start w:val="1"/>
      <w:numFmt w:val="decimal"/>
      <w:isLgl/>
      <w:lvlText w:val="%1.%2.%3.%4.%5"/>
      <w:lvlJc w:val="left"/>
      <w:pPr>
        <w:ind w:left="4680" w:hanging="1080"/>
      </w:pPr>
      <w:rPr>
        <w:rFonts w:hint="default"/>
      </w:rPr>
    </w:lvl>
    <w:lvl w:ilvl="5" w:tentative="0">
      <w:start w:val="1"/>
      <w:numFmt w:val="decimal"/>
      <w:isLgl/>
      <w:lvlText w:val="%1.%2.%3.%4.%5.%6"/>
      <w:lvlJc w:val="left"/>
      <w:pPr>
        <w:ind w:left="5490" w:hanging="1080"/>
      </w:pPr>
      <w:rPr>
        <w:rFonts w:hint="default"/>
      </w:rPr>
    </w:lvl>
    <w:lvl w:ilvl="6" w:tentative="0">
      <w:start w:val="1"/>
      <w:numFmt w:val="decimal"/>
      <w:isLgl/>
      <w:lvlText w:val="%1.%2.%3.%4.%5.%6.%7"/>
      <w:lvlJc w:val="left"/>
      <w:pPr>
        <w:ind w:left="6660" w:hanging="1440"/>
      </w:pPr>
      <w:rPr>
        <w:rFonts w:hint="default"/>
      </w:rPr>
    </w:lvl>
    <w:lvl w:ilvl="7" w:tentative="0">
      <w:start w:val="1"/>
      <w:numFmt w:val="decimal"/>
      <w:isLgl/>
      <w:lvlText w:val="%1.%2.%3.%4.%5.%6.%7.%8"/>
      <w:lvlJc w:val="left"/>
      <w:pPr>
        <w:ind w:left="7470" w:hanging="1440"/>
      </w:pPr>
      <w:rPr>
        <w:rFonts w:hint="default"/>
      </w:rPr>
    </w:lvl>
    <w:lvl w:ilvl="8" w:tentative="0">
      <w:start w:val="1"/>
      <w:numFmt w:val="decimal"/>
      <w:isLgl/>
      <w:lvlText w:val="%1.%2.%3.%4.%5.%6.%7.%8.%9"/>
      <w:lvlJc w:val="left"/>
      <w:pPr>
        <w:ind w:left="8640" w:hanging="1800"/>
      </w:pPr>
      <w:rPr>
        <w:rFonts w:hint="default"/>
      </w:rPr>
    </w:lvl>
  </w:abstractNum>
  <w:abstractNum w:abstractNumId="24">
    <w:nsid w:val="281C7CD9"/>
    <w:multiLevelType w:val="multilevel"/>
    <w:tmpl w:val="281C7CD9"/>
    <w:lvl w:ilvl="0" w:tentative="0">
      <w:start w:val="1"/>
      <w:numFmt w:val="lowerLetter"/>
      <w:lvlText w:val="%1."/>
      <w:lvlJc w:val="left"/>
      <w:pPr>
        <w:ind w:left="720" w:hanging="360"/>
      </w:pPr>
      <w:rPr>
        <w:rFonts w:hint="default" w:asciiTheme="minorHAnsi" w:hAnsiTheme="minorHAnsi" w:eastAsiaTheme="minorHAnsi" w:cstheme="minorBidi"/>
        <w:color w:val="auto"/>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86446E4"/>
    <w:multiLevelType w:val="multilevel"/>
    <w:tmpl w:val="286446E4"/>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b/>
        <w:i/>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6">
    <w:nsid w:val="295F60DB"/>
    <w:multiLevelType w:val="multilevel"/>
    <w:tmpl w:val="295F60D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299F73E6"/>
    <w:multiLevelType w:val="multilevel"/>
    <w:tmpl w:val="299F73E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B78461A"/>
    <w:multiLevelType w:val="multilevel"/>
    <w:tmpl w:val="2B78461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04A4DF2"/>
    <w:multiLevelType w:val="multilevel"/>
    <w:tmpl w:val="304A4DF2"/>
    <w:lvl w:ilvl="0" w:tentative="0">
      <w:start w:val="1"/>
      <w:numFmt w:val="decimal"/>
      <w:lvlText w:val="%1."/>
      <w:lvlJc w:val="left"/>
      <w:pPr>
        <w:ind w:left="720" w:hanging="360"/>
      </w:pPr>
      <w:rPr>
        <w:rFonts w:hint="default" w:eastAsiaTheme="minorHAnsi"/>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1B51DFB"/>
    <w:multiLevelType w:val="multilevel"/>
    <w:tmpl w:val="31B51DF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2080A53"/>
    <w:multiLevelType w:val="multilevel"/>
    <w:tmpl w:val="32080A53"/>
    <w:lvl w:ilvl="0" w:tentative="0">
      <w:start w:val="1"/>
      <w:numFmt w:val="decimal"/>
      <w:lvlText w:val="%1."/>
      <w:lvlJc w:val="left"/>
      <w:pPr>
        <w:ind w:left="780" w:hanging="360"/>
      </w:p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32">
    <w:nsid w:val="32117A48"/>
    <w:multiLevelType w:val="multilevel"/>
    <w:tmpl w:val="32117A4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34420481"/>
    <w:multiLevelType w:val="multilevel"/>
    <w:tmpl w:val="3442048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56A733C"/>
    <w:multiLevelType w:val="multilevel"/>
    <w:tmpl w:val="356A733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6510BAD"/>
    <w:multiLevelType w:val="multilevel"/>
    <w:tmpl w:val="36510B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37D934DB"/>
    <w:multiLevelType w:val="multilevel"/>
    <w:tmpl w:val="37D934DB"/>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7">
    <w:nsid w:val="38166183"/>
    <w:multiLevelType w:val="multilevel"/>
    <w:tmpl w:val="38166183"/>
    <w:lvl w:ilvl="0" w:tentative="0">
      <w:start w:val="1"/>
      <w:numFmt w:val="decimal"/>
      <w:lvlText w:val="%1."/>
      <w:lvlJc w:val="left"/>
      <w:pPr>
        <w:ind w:left="720" w:hanging="360"/>
      </w:pPr>
      <w:rPr>
        <w:rFonts w:hint="default" w:ascii="Arial" w:hAnsi="Arial" w:cs="Arial"/>
        <w:sz w:val="2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392B7492"/>
    <w:multiLevelType w:val="multilevel"/>
    <w:tmpl w:val="392B749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39E845DC"/>
    <w:multiLevelType w:val="multilevel"/>
    <w:tmpl w:val="39E845D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3ADD62D7"/>
    <w:multiLevelType w:val="multilevel"/>
    <w:tmpl w:val="3ADD62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3CB36EE7"/>
    <w:multiLevelType w:val="multilevel"/>
    <w:tmpl w:val="3CB36EE7"/>
    <w:lvl w:ilvl="0" w:tentative="0">
      <w:start w:val="1"/>
      <w:numFmt w:val="decimal"/>
      <w:lvlText w:val="%1."/>
      <w:lvlJc w:val="left"/>
      <w:pPr>
        <w:ind w:left="720" w:hanging="360"/>
      </w:pPr>
      <w:rPr>
        <w:rFonts w:hint="default"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D216A9A"/>
    <w:multiLevelType w:val="multilevel"/>
    <w:tmpl w:val="3D216A9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3">
    <w:nsid w:val="3DBE5D04"/>
    <w:multiLevelType w:val="multilevel"/>
    <w:tmpl w:val="3DBE5D04"/>
    <w:lvl w:ilvl="0" w:tentative="0">
      <w:start w:val="1"/>
      <w:numFmt w:val="decimal"/>
      <w:lvlText w:val="%1"/>
      <w:lvlJc w:val="left"/>
      <w:pPr>
        <w:ind w:left="360" w:hanging="360"/>
      </w:pPr>
      <w:rPr>
        <w:rFonts w:hint="default"/>
      </w:rPr>
    </w:lvl>
    <w:lvl w:ilvl="1" w:tentative="0">
      <w:start w:val="1"/>
      <w:numFmt w:val="decimal"/>
      <w:lvlText w:val="%1.%2"/>
      <w:lvlJc w:val="left"/>
      <w:pPr>
        <w:ind w:left="885" w:hanging="360"/>
      </w:pPr>
      <w:rPr>
        <w:rFonts w:hint="default"/>
      </w:rPr>
    </w:lvl>
    <w:lvl w:ilvl="2" w:tentative="0">
      <w:start w:val="1"/>
      <w:numFmt w:val="decimal"/>
      <w:lvlText w:val="%1.%2.%3"/>
      <w:lvlJc w:val="left"/>
      <w:pPr>
        <w:ind w:left="1770" w:hanging="720"/>
      </w:pPr>
      <w:rPr>
        <w:rFonts w:hint="default"/>
      </w:rPr>
    </w:lvl>
    <w:lvl w:ilvl="3" w:tentative="0">
      <w:start w:val="1"/>
      <w:numFmt w:val="decimal"/>
      <w:lvlText w:val="%1.%2.%3.%4"/>
      <w:lvlJc w:val="left"/>
      <w:pPr>
        <w:ind w:left="2295" w:hanging="720"/>
      </w:pPr>
      <w:rPr>
        <w:rFonts w:hint="default"/>
      </w:rPr>
    </w:lvl>
    <w:lvl w:ilvl="4" w:tentative="0">
      <w:start w:val="1"/>
      <w:numFmt w:val="decimal"/>
      <w:lvlText w:val="%1.%2.%3.%4.%5"/>
      <w:lvlJc w:val="left"/>
      <w:pPr>
        <w:ind w:left="3180" w:hanging="1080"/>
      </w:pPr>
      <w:rPr>
        <w:rFonts w:hint="default"/>
      </w:rPr>
    </w:lvl>
    <w:lvl w:ilvl="5" w:tentative="0">
      <w:start w:val="1"/>
      <w:numFmt w:val="decimal"/>
      <w:lvlText w:val="%1.%2.%3.%4.%5.%6"/>
      <w:lvlJc w:val="left"/>
      <w:pPr>
        <w:ind w:left="3705" w:hanging="1080"/>
      </w:pPr>
      <w:rPr>
        <w:rFonts w:hint="default"/>
      </w:rPr>
    </w:lvl>
    <w:lvl w:ilvl="6" w:tentative="0">
      <w:start w:val="1"/>
      <w:numFmt w:val="decimal"/>
      <w:lvlText w:val="%1.%2.%3.%4.%5.%6.%7"/>
      <w:lvlJc w:val="left"/>
      <w:pPr>
        <w:ind w:left="4590" w:hanging="1440"/>
      </w:pPr>
      <w:rPr>
        <w:rFonts w:hint="default"/>
      </w:rPr>
    </w:lvl>
    <w:lvl w:ilvl="7" w:tentative="0">
      <w:start w:val="1"/>
      <w:numFmt w:val="decimal"/>
      <w:lvlText w:val="%1.%2.%3.%4.%5.%6.%7.%8"/>
      <w:lvlJc w:val="left"/>
      <w:pPr>
        <w:ind w:left="5115" w:hanging="1440"/>
      </w:pPr>
      <w:rPr>
        <w:rFonts w:hint="default"/>
      </w:rPr>
    </w:lvl>
    <w:lvl w:ilvl="8" w:tentative="0">
      <w:start w:val="1"/>
      <w:numFmt w:val="decimal"/>
      <w:lvlText w:val="%1.%2.%3.%4.%5.%6.%7.%8.%9"/>
      <w:lvlJc w:val="left"/>
      <w:pPr>
        <w:ind w:left="6000" w:hanging="1800"/>
      </w:pPr>
      <w:rPr>
        <w:rFonts w:hint="default"/>
      </w:rPr>
    </w:lvl>
  </w:abstractNum>
  <w:abstractNum w:abstractNumId="44">
    <w:nsid w:val="40996D41"/>
    <w:multiLevelType w:val="multilevel"/>
    <w:tmpl w:val="40996D4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41855C62"/>
    <w:multiLevelType w:val="multilevel"/>
    <w:tmpl w:val="41855C62"/>
    <w:lvl w:ilvl="0" w:tentative="0">
      <w:start w:val="1"/>
      <w:numFmt w:val="decimal"/>
      <w:lvlText w:val="%1."/>
      <w:lvlJc w:val="left"/>
      <w:pPr>
        <w:ind w:left="720" w:hanging="360"/>
      </w:pPr>
      <w:rPr>
        <w:rFonts w:hint="default" w:ascii="Arial" w:hAnsi="Arial" w:cs="Arial" w:eastAsiaTheme="minorHAnsi"/>
        <w:color w:val="auto"/>
        <w:sz w:val="2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45BC7653"/>
    <w:multiLevelType w:val="multilevel"/>
    <w:tmpl w:val="45BC7653"/>
    <w:lvl w:ilvl="0" w:tentative="0">
      <w:start w:val="1"/>
      <w:numFmt w:val="decimal"/>
      <w:lvlText w:val="%1."/>
      <w:lvlJc w:val="left"/>
      <w:pPr>
        <w:ind w:left="720" w:hanging="360"/>
      </w:pPr>
      <w:rPr>
        <w:rFonts w:hint="default" w:eastAsia="Times New Roman"/>
        <w:color w:val="000000"/>
      </w:rPr>
    </w:lvl>
    <w:lvl w:ilvl="1" w:tentative="0">
      <w:start w:val="1"/>
      <w:numFmt w:val="lowerLetter"/>
      <w:lvlText w:val="%2."/>
      <w:lvlJc w:val="left"/>
      <w:pPr>
        <w:ind w:left="1440" w:hanging="360"/>
      </w:pPr>
    </w:lvl>
    <w:lvl w:ilvl="2" w:tentative="0">
      <w:start w:val="1"/>
      <w:numFmt w:val="lowerRoman"/>
      <w:lvlText w:val="%3."/>
      <w:lvlJc w:val="right"/>
      <w:pPr>
        <w:ind w:left="18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4B4431E6"/>
    <w:multiLevelType w:val="multilevel"/>
    <w:tmpl w:val="4B4431E6"/>
    <w:lvl w:ilvl="0" w:tentative="0">
      <w:start w:val="4"/>
      <w:numFmt w:val="decimal"/>
      <w:lvlText w:val="%1"/>
      <w:lvlJc w:val="left"/>
      <w:pPr>
        <w:ind w:left="480" w:hanging="480"/>
      </w:pPr>
      <w:rPr>
        <w:rFonts w:hint="default"/>
      </w:rPr>
    </w:lvl>
    <w:lvl w:ilvl="1" w:tentative="0">
      <w:start w:val="6"/>
      <w:numFmt w:val="decimal"/>
      <w:lvlText w:val="%1.%2"/>
      <w:lvlJc w:val="left"/>
      <w:pPr>
        <w:ind w:left="1020" w:hanging="480"/>
      </w:pPr>
      <w:rPr>
        <w:rFonts w:hint="default"/>
      </w:rPr>
    </w:lvl>
    <w:lvl w:ilvl="2" w:tentative="0">
      <w:start w:val="4"/>
      <w:numFmt w:val="decimal"/>
      <w:lvlText w:val="%1.%2.%3"/>
      <w:lvlJc w:val="left"/>
      <w:pPr>
        <w:ind w:left="1800" w:hanging="720"/>
      </w:pPr>
      <w:rPr>
        <w:rFonts w:hint="default"/>
      </w:rPr>
    </w:lvl>
    <w:lvl w:ilvl="3" w:tentative="0">
      <w:start w:val="1"/>
      <w:numFmt w:val="decimal"/>
      <w:lvlText w:val="%1.%2.%3.%4"/>
      <w:lvlJc w:val="left"/>
      <w:pPr>
        <w:ind w:left="2340" w:hanging="720"/>
      </w:pPr>
      <w:rPr>
        <w:rFonts w:hint="default"/>
      </w:rPr>
    </w:lvl>
    <w:lvl w:ilvl="4" w:tentative="0">
      <w:start w:val="1"/>
      <w:numFmt w:val="decimal"/>
      <w:lvlText w:val="%1.%2.%3.%4.%5"/>
      <w:lvlJc w:val="left"/>
      <w:pPr>
        <w:ind w:left="3240" w:hanging="1080"/>
      </w:pPr>
      <w:rPr>
        <w:rFonts w:hint="default"/>
      </w:rPr>
    </w:lvl>
    <w:lvl w:ilvl="5" w:tentative="0">
      <w:start w:val="1"/>
      <w:numFmt w:val="decimal"/>
      <w:lvlText w:val="%1.%2.%3.%4.%5.%6"/>
      <w:lvlJc w:val="left"/>
      <w:pPr>
        <w:ind w:left="3780" w:hanging="1080"/>
      </w:pPr>
      <w:rPr>
        <w:rFonts w:hint="default"/>
      </w:rPr>
    </w:lvl>
    <w:lvl w:ilvl="6" w:tentative="0">
      <w:start w:val="1"/>
      <w:numFmt w:val="decimal"/>
      <w:lvlText w:val="%1.%2.%3.%4.%5.%6.%7"/>
      <w:lvlJc w:val="left"/>
      <w:pPr>
        <w:ind w:left="4680" w:hanging="1440"/>
      </w:pPr>
      <w:rPr>
        <w:rFonts w:hint="default"/>
      </w:rPr>
    </w:lvl>
    <w:lvl w:ilvl="7" w:tentative="0">
      <w:start w:val="1"/>
      <w:numFmt w:val="decimal"/>
      <w:lvlText w:val="%1.%2.%3.%4.%5.%6.%7.%8"/>
      <w:lvlJc w:val="left"/>
      <w:pPr>
        <w:ind w:left="5220" w:hanging="1440"/>
      </w:pPr>
      <w:rPr>
        <w:rFonts w:hint="default"/>
      </w:rPr>
    </w:lvl>
    <w:lvl w:ilvl="8" w:tentative="0">
      <w:start w:val="1"/>
      <w:numFmt w:val="decimal"/>
      <w:lvlText w:val="%1.%2.%3.%4.%5.%6.%7.%8.%9"/>
      <w:lvlJc w:val="left"/>
      <w:pPr>
        <w:ind w:left="6120" w:hanging="1800"/>
      </w:pPr>
      <w:rPr>
        <w:rFonts w:hint="default"/>
      </w:rPr>
    </w:lvl>
  </w:abstractNum>
  <w:abstractNum w:abstractNumId="48">
    <w:nsid w:val="510561F9"/>
    <w:multiLevelType w:val="multilevel"/>
    <w:tmpl w:val="510561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2CE62C7"/>
    <w:multiLevelType w:val="multilevel"/>
    <w:tmpl w:val="52CE62C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54481AF7"/>
    <w:multiLevelType w:val="multilevel"/>
    <w:tmpl w:val="54481AF7"/>
    <w:lvl w:ilvl="0" w:tentative="0">
      <w:start w:val="1"/>
      <w:numFmt w:val="decimal"/>
      <w:lvlText w:val="%1."/>
      <w:lvlJc w:val="left"/>
      <w:pPr>
        <w:ind w:left="771" w:hanging="360"/>
      </w:pPr>
    </w:lvl>
    <w:lvl w:ilvl="1" w:tentative="0">
      <w:start w:val="1"/>
      <w:numFmt w:val="lowerLetter"/>
      <w:lvlText w:val="%2."/>
      <w:lvlJc w:val="left"/>
      <w:pPr>
        <w:ind w:left="1491" w:hanging="360"/>
      </w:pPr>
    </w:lvl>
    <w:lvl w:ilvl="2" w:tentative="0">
      <w:start w:val="1"/>
      <w:numFmt w:val="lowerRoman"/>
      <w:lvlText w:val="%3."/>
      <w:lvlJc w:val="right"/>
      <w:pPr>
        <w:ind w:left="2211" w:hanging="180"/>
      </w:pPr>
    </w:lvl>
    <w:lvl w:ilvl="3" w:tentative="0">
      <w:start w:val="1"/>
      <w:numFmt w:val="decimal"/>
      <w:lvlText w:val="%4."/>
      <w:lvlJc w:val="left"/>
      <w:pPr>
        <w:ind w:left="2931" w:hanging="360"/>
      </w:pPr>
    </w:lvl>
    <w:lvl w:ilvl="4" w:tentative="0">
      <w:start w:val="1"/>
      <w:numFmt w:val="lowerLetter"/>
      <w:lvlText w:val="%5."/>
      <w:lvlJc w:val="left"/>
      <w:pPr>
        <w:ind w:left="3651" w:hanging="360"/>
      </w:pPr>
    </w:lvl>
    <w:lvl w:ilvl="5" w:tentative="0">
      <w:start w:val="1"/>
      <w:numFmt w:val="lowerRoman"/>
      <w:lvlText w:val="%6."/>
      <w:lvlJc w:val="right"/>
      <w:pPr>
        <w:ind w:left="4371" w:hanging="180"/>
      </w:pPr>
    </w:lvl>
    <w:lvl w:ilvl="6" w:tentative="0">
      <w:start w:val="1"/>
      <w:numFmt w:val="decimal"/>
      <w:lvlText w:val="%7."/>
      <w:lvlJc w:val="left"/>
      <w:pPr>
        <w:ind w:left="5091" w:hanging="360"/>
      </w:pPr>
    </w:lvl>
    <w:lvl w:ilvl="7" w:tentative="0">
      <w:start w:val="1"/>
      <w:numFmt w:val="lowerLetter"/>
      <w:lvlText w:val="%8."/>
      <w:lvlJc w:val="left"/>
      <w:pPr>
        <w:ind w:left="5811" w:hanging="360"/>
      </w:pPr>
    </w:lvl>
    <w:lvl w:ilvl="8" w:tentative="0">
      <w:start w:val="1"/>
      <w:numFmt w:val="lowerRoman"/>
      <w:lvlText w:val="%9."/>
      <w:lvlJc w:val="right"/>
      <w:pPr>
        <w:ind w:left="6531" w:hanging="180"/>
      </w:pPr>
    </w:lvl>
  </w:abstractNum>
  <w:abstractNum w:abstractNumId="51">
    <w:nsid w:val="559928AC"/>
    <w:multiLevelType w:val="multilevel"/>
    <w:tmpl w:val="559928A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7163848"/>
    <w:multiLevelType w:val="multilevel"/>
    <w:tmpl w:val="571638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72E43AB"/>
    <w:multiLevelType w:val="multilevel"/>
    <w:tmpl w:val="572E43A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5E5A5DF8"/>
    <w:multiLevelType w:val="multilevel"/>
    <w:tmpl w:val="5E5A5DF8"/>
    <w:lvl w:ilvl="0" w:tentative="0">
      <w:start w:val="1"/>
      <w:numFmt w:val="lowerLetter"/>
      <w:lvlText w:val="%1."/>
      <w:lvlJc w:val="left"/>
      <w:pPr>
        <w:ind w:left="720" w:hanging="360"/>
      </w:pPr>
      <w:rPr>
        <w:rFonts w:hint="default" w:asciiTheme="minorHAnsi" w:hAnsiTheme="minorHAnsi" w:eastAsiaTheme="minorHAnsi" w:cstheme="minorBidi"/>
        <w:color w:val="auto"/>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22B569D"/>
    <w:multiLevelType w:val="multilevel"/>
    <w:tmpl w:val="622B56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63BC760E"/>
    <w:multiLevelType w:val="multilevel"/>
    <w:tmpl w:val="63BC760E"/>
    <w:lvl w:ilvl="0" w:tentative="0">
      <w:start w:val="1"/>
      <w:numFmt w:val="decimal"/>
      <w:lvlText w:val="%1."/>
      <w:lvlJc w:val="left"/>
      <w:pPr>
        <w:ind w:left="720"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64A971FF"/>
    <w:multiLevelType w:val="multilevel"/>
    <w:tmpl w:val="64A971FF"/>
    <w:lvl w:ilvl="0" w:tentative="0">
      <w:start w:val="1"/>
      <w:numFmt w:val="decimal"/>
      <w:lvlText w:val="%1."/>
      <w:lvlJc w:val="left"/>
      <w:pPr>
        <w:ind w:left="720" w:hanging="360"/>
      </w:pPr>
      <w:rPr>
        <w:rFonts w:hint="default" w:ascii="Arial" w:hAnsi="Arial" w:cs="Arial" w:eastAsiaTheme="minorHAnsi"/>
        <w:color w:val="auto"/>
        <w:sz w:val="23"/>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2520" w:hanging="720"/>
      </w:pPr>
      <w:rPr>
        <w:rFonts w:hint="default"/>
      </w:rPr>
    </w:lvl>
    <w:lvl w:ilvl="3" w:tentative="0">
      <w:start w:val="1"/>
      <w:numFmt w:val="decimal"/>
      <w:isLgl/>
      <w:lvlText w:val="%1.%2.%3.%4"/>
      <w:lvlJc w:val="left"/>
      <w:pPr>
        <w:ind w:left="3240" w:hanging="720"/>
      </w:pPr>
      <w:rPr>
        <w:rFonts w:hint="default"/>
      </w:rPr>
    </w:lvl>
    <w:lvl w:ilvl="4" w:tentative="0">
      <w:start w:val="1"/>
      <w:numFmt w:val="decimal"/>
      <w:isLgl/>
      <w:lvlText w:val="%1.%2.%3.%4.%5"/>
      <w:lvlJc w:val="left"/>
      <w:pPr>
        <w:ind w:left="4320" w:hanging="1080"/>
      </w:pPr>
      <w:rPr>
        <w:rFonts w:hint="default"/>
      </w:rPr>
    </w:lvl>
    <w:lvl w:ilvl="5" w:tentative="0">
      <w:start w:val="1"/>
      <w:numFmt w:val="decimal"/>
      <w:isLgl/>
      <w:lvlText w:val="%1.%2.%3.%4.%5.%6"/>
      <w:lvlJc w:val="left"/>
      <w:pPr>
        <w:ind w:left="5040" w:hanging="1080"/>
      </w:pPr>
      <w:rPr>
        <w:rFonts w:hint="default"/>
      </w:rPr>
    </w:lvl>
    <w:lvl w:ilvl="6" w:tentative="0">
      <w:start w:val="1"/>
      <w:numFmt w:val="decimal"/>
      <w:isLgl/>
      <w:lvlText w:val="%1.%2.%3.%4.%5.%6.%7"/>
      <w:lvlJc w:val="left"/>
      <w:pPr>
        <w:ind w:left="6120" w:hanging="1440"/>
      </w:pPr>
      <w:rPr>
        <w:rFonts w:hint="default"/>
      </w:rPr>
    </w:lvl>
    <w:lvl w:ilvl="7" w:tentative="0">
      <w:start w:val="1"/>
      <w:numFmt w:val="decimal"/>
      <w:isLgl/>
      <w:lvlText w:val="%1.%2.%3.%4.%5.%6.%7.%8"/>
      <w:lvlJc w:val="left"/>
      <w:pPr>
        <w:ind w:left="6840" w:hanging="1440"/>
      </w:pPr>
      <w:rPr>
        <w:rFonts w:hint="default"/>
      </w:rPr>
    </w:lvl>
    <w:lvl w:ilvl="8" w:tentative="0">
      <w:start w:val="1"/>
      <w:numFmt w:val="decimal"/>
      <w:isLgl/>
      <w:lvlText w:val="%1.%2.%3.%4.%5.%6.%7.%8.%9"/>
      <w:lvlJc w:val="left"/>
      <w:pPr>
        <w:ind w:left="7920" w:hanging="1800"/>
      </w:pPr>
      <w:rPr>
        <w:rFonts w:hint="default"/>
      </w:rPr>
    </w:lvl>
  </w:abstractNum>
  <w:abstractNum w:abstractNumId="58">
    <w:nsid w:val="655D7194"/>
    <w:multiLevelType w:val="multilevel"/>
    <w:tmpl w:val="655D7194"/>
    <w:lvl w:ilvl="0" w:tentative="0">
      <w:start w:val="1"/>
      <w:numFmt w:val="decimal"/>
      <w:lvlText w:val="%1."/>
      <w:lvlJc w:val="left"/>
      <w:pPr>
        <w:ind w:left="720" w:hanging="360"/>
      </w:pPr>
      <w:rPr>
        <w:rFonts w:hint="default" w:ascii="Arial" w:hAnsi="Arial" w:cs="Arial"/>
        <w:sz w:val="23"/>
      </w:rPr>
    </w:lvl>
    <w:lvl w:ilvl="1" w:tentative="0">
      <w:start w:val="2"/>
      <w:numFmt w:val="decimal"/>
      <w:isLgl/>
      <w:lvlText w:val="%1.%2"/>
      <w:lvlJc w:val="left"/>
      <w:pPr>
        <w:ind w:left="720" w:hanging="360"/>
      </w:pPr>
      <w:rPr>
        <w:rFonts w:hint="default"/>
        <w:b/>
        <w:i w:val="0"/>
      </w:rPr>
    </w:lvl>
    <w:lvl w:ilvl="2" w:tentative="0">
      <w:start w:val="1"/>
      <w:numFmt w:val="decimal"/>
      <w:isLgl/>
      <w:lvlText w:val="%1.%2.%3"/>
      <w:lvlJc w:val="left"/>
      <w:pPr>
        <w:ind w:left="720" w:hanging="720"/>
      </w:pPr>
      <w:rPr>
        <w:rFonts w:hint="default"/>
        <w:i w:val="0"/>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59">
    <w:nsid w:val="6AE651CA"/>
    <w:multiLevelType w:val="multilevel"/>
    <w:tmpl w:val="6AE651C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6B486BC7"/>
    <w:multiLevelType w:val="multilevel"/>
    <w:tmpl w:val="6B486BC7"/>
    <w:lvl w:ilvl="0" w:tentative="0">
      <w:start w:val="1"/>
      <w:numFmt w:val="decimal"/>
      <w:lvlText w:val="%1."/>
      <w:lvlJc w:val="left"/>
      <w:pPr>
        <w:ind w:left="720" w:hanging="360"/>
      </w:pPr>
      <w:rPr>
        <w:rFonts w:hint="default"/>
      </w:rPr>
    </w:lvl>
    <w:lvl w:ilvl="1" w:tentative="0">
      <w:start w:val="5"/>
      <w:numFmt w:val="decimal"/>
      <w:isLgl/>
      <w:lvlText w:val="%1.%2"/>
      <w:lvlJc w:val="left"/>
      <w:pPr>
        <w:ind w:left="840" w:hanging="480"/>
      </w:pPr>
      <w:rPr>
        <w:rFonts w:hint="default"/>
      </w:rPr>
    </w:lvl>
    <w:lvl w:ilvl="2" w:tentative="0">
      <w:start w:val="6"/>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1">
    <w:nsid w:val="6D954AB5"/>
    <w:multiLevelType w:val="multilevel"/>
    <w:tmpl w:val="6D954AB5"/>
    <w:lvl w:ilvl="0" w:tentative="0">
      <w:start w:val="1"/>
      <w:numFmt w:val="decimal"/>
      <w:lvlText w:val="%1."/>
      <w:lvlJc w:val="left"/>
      <w:pPr>
        <w:ind w:left="720" w:hanging="360"/>
      </w:pPr>
      <w:rPr>
        <w:rFonts w:hint="default"/>
      </w:r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2">
    <w:nsid w:val="6E9768F2"/>
    <w:multiLevelType w:val="multilevel"/>
    <w:tmpl w:val="6E9768F2"/>
    <w:lvl w:ilvl="0" w:tentative="0">
      <w:start w:val="3"/>
      <w:numFmt w:val="decimal"/>
      <w:lvlText w:val="%1"/>
      <w:lvlJc w:val="left"/>
      <w:pPr>
        <w:ind w:left="660" w:hanging="660"/>
      </w:pPr>
      <w:rPr>
        <w:rFonts w:hint="default"/>
      </w:rPr>
    </w:lvl>
    <w:lvl w:ilvl="1" w:tentative="0">
      <w:start w:val="2"/>
      <w:numFmt w:val="decimal"/>
      <w:lvlText w:val="%1.%2"/>
      <w:lvlJc w:val="left"/>
      <w:pPr>
        <w:ind w:left="660" w:hanging="660"/>
      </w:pPr>
      <w:rPr>
        <w:rFonts w:hint="default"/>
      </w:rPr>
    </w:lvl>
    <w:lvl w:ilvl="2" w:tentative="0">
      <w:start w:val="6"/>
      <w:numFmt w:val="decimal"/>
      <w:lvlText w:val="%1.%2.%3"/>
      <w:lvlJc w:val="left"/>
      <w:pPr>
        <w:ind w:left="720" w:hanging="720"/>
      </w:pPr>
      <w:rPr>
        <w:rFonts w:hint="default"/>
      </w:rPr>
    </w:lvl>
    <w:lvl w:ilvl="3" w:tentative="0">
      <w:start w:val="4"/>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3">
    <w:nsid w:val="6EA33326"/>
    <w:multiLevelType w:val="multilevel"/>
    <w:tmpl w:val="6EA3332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6EE10A19"/>
    <w:multiLevelType w:val="multilevel"/>
    <w:tmpl w:val="6EE10A19"/>
    <w:lvl w:ilvl="0" w:tentative="0">
      <w:start w:val="1"/>
      <w:numFmt w:val="decimal"/>
      <w:lvlText w:val="%1."/>
      <w:lvlJc w:val="left"/>
      <w:pPr>
        <w:ind w:left="720" w:hanging="360"/>
      </w:pPr>
      <w:rPr>
        <w:rFonts w:hint="default" w:eastAsia="Times New Roman"/>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72796358"/>
    <w:multiLevelType w:val="multilevel"/>
    <w:tmpl w:val="72796358"/>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72877F91"/>
    <w:multiLevelType w:val="multilevel"/>
    <w:tmpl w:val="72877F91"/>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745A7219"/>
    <w:multiLevelType w:val="multilevel"/>
    <w:tmpl w:val="745A72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75E06834"/>
    <w:multiLevelType w:val="multilevel"/>
    <w:tmpl w:val="75E068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765150F7"/>
    <w:multiLevelType w:val="multilevel"/>
    <w:tmpl w:val="765150F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0">
    <w:nsid w:val="78C61004"/>
    <w:multiLevelType w:val="multilevel"/>
    <w:tmpl w:val="78C6100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7AB41CBF"/>
    <w:multiLevelType w:val="multilevel"/>
    <w:tmpl w:val="7AB41C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7BC17064"/>
    <w:multiLevelType w:val="multilevel"/>
    <w:tmpl w:val="7BC17064"/>
    <w:lvl w:ilvl="0" w:tentative="0">
      <w:start w:val="1"/>
      <w:numFmt w:val="decimal"/>
      <w:lvlText w:val="%1."/>
      <w:lvlJc w:val="left"/>
      <w:pPr>
        <w:ind w:left="720" w:hanging="360"/>
      </w:pPr>
      <w:rPr>
        <w:rFonts w:hint="default" w:eastAsia="Times New Roman"/>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7E182CFC"/>
    <w:multiLevelType w:val="multilevel"/>
    <w:tmpl w:val="7E182C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3"/>
  </w:num>
  <w:num w:numId="2">
    <w:abstractNumId w:val="47"/>
  </w:num>
  <w:num w:numId="3">
    <w:abstractNumId w:val="3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31"/>
  </w:num>
  <w:num w:numId="9">
    <w:abstractNumId w:val="55"/>
  </w:num>
  <w:num w:numId="10">
    <w:abstractNumId w:val="12"/>
  </w:num>
  <w:num w:numId="11">
    <w:abstractNumId w:val="35"/>
  </w:num>
  <w:num w:numId="12">
    <w:abstractNumId w:val="44"/>
  </w:num>
  <w:num w:numId="13">
    <w:abstractNumId w:val="28"/>
  </w:num>
  <w:num w:numId="14">
    <w:abstractNumId w:val="52"/>
  </w:num>
  <w:num w:numId="15">
    <w:abstractNumId w:val="30"/>
  </w:num>
  <w:num w:numId="16">
    <w:abstractNumId w:val="70"/>
  </w:num>
  <w:num w:numId="17">
    <w:abstractNumId w:val="50"/>
  </w:num>
  <w:num w:numId="18">
    <w:abstractNumId w:val="10"/>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num>
  <w:num w:numId="24">
    <w:abstractNumId w:val="14"/>
  </w:num>
  <w:num w:numId="25">
    <w:abstractNumId w:val="11"/>
  </w:num>
  <w:num w:numId="26">
    <w:abstractNumId w:val="59"/>
  </w:num>
  <w:num w:numId="27">
    <w:abstractNumId w:val="42"/>
  </w:num>
  <w:num w:numId="28">
    <w:abstractNumId w:val="13"/>
  </w:num>
  <w:num w:numId="29">
    <w:abstractNumId w:val="33"/>
  </w:num>
  <w:num w:numId="30">
    <w:abstractNumId w:val="19"/>
  </w:num>
  <w:num w:numId="31">
    <w:abstractNumId w:val="26"/>
  </w:num>
  <w:num w:numId="32">
    <w:abstractNumId w:val="67"/>
  </w:num>
  <w:num w:numId="33">
    <w:abstractNumId w:val="6"/>
  </w:num>
  <w:num w:numId="34">
    <w:abstractNumId w:val="68"/>
  </w:num>
  <w:num w:numId="35">
    <w:abstractNumId w:val="51"/>
  </w:num>
  <w:num w:numId="36">
    <w:abstractNumId w:val="8"/>
  </w:num>
  <w:num w:numId="37">
    <w:abstractNumId w:val="53"/>
  </w:num>
  <w:num w:numId="38">
    <w:abstractNumId w:val="40"/>
  </w:num>
  <w:num w:numId="39">
    <w:abstractNumId w:val="71"/>
  </w:num>
  <w:num w:numId="40">
    <w:abstractNumId w:val="41"/>
  </w:num>
  <w:num w:numId="41">
    <w:abstractNumId w:val="65"/>
  </w:num>
  <w:num w:numId="42">
    <w:abstractNumId w:val="72"/>
  </w:num>
  <w:num w:numId="43">
    <w:abstractNumId w:val="27"/>
  </w:num>
  <w:num w:numId="44">
    <w:abstractNumId w:val="1"/>
  </w:num>
  <w:num w:numId="45">
    <w:abstractNumId w:val="49"/>
  </w:num>
  <w:num w:numId="46">
    <w:abstractNumId w:val="45"/>
  </w:num>
  <w:num w:numId="47">
    <w:abstractNumId w:val="0"/>
  </w:num>
  <w:num w:numId="48">
    <w:abstractNumId w:val="3"/>
  </w:num>
  <w:num w:numId="49">
    <w:abstractNumId w:val="20"/>
  </w:num>
  <w:num w:numId="50">
    <w:abstractNumId w:val="2"/>
  </w:num>
  <w:num w:numId="51">
    <w:abstractNumId w:val="4"/>
  </w:num>
  <w:num w:numId="52">
    <w:abstractNumId w:val="22"/>
  </w:num>
  <w:num w:numId="53">
    <w:abstractNumId w:val="24"/>
  </w:num>
  <w:num w:numId="54">
    <w:abstractNumId w:val="54"/>
  </w:num>
  <w:num w:numId="55">
    <w:abstractNumId w:val="57"/>
  </w:num>
  <w:num w:numId="56">
    <w:abstractNumId w:val="73"/>
  </w:num>
  <w:num w:numId="57">
    <w:abstractNumId w:val="29"/>
  </w:num>
  <w:num w:numId="58">
    <w:abstractNumId w:val="56"/>
  </w:num>
  <w:num w:numId="59">
    <w:abstractNumId w:val="16"/>
  </w:num>
  <w:num w:numId="60">
    <w:abstractNumId w:val="60"/>
  </w:num>
  <w:num w:numId="61">
    <w:abstractNumId w:val="23"/>
  </w:num>
  <w:num w:numId="62">
    <w:abstractNumId w:val="46"/>
  </w:num>
  <w:num w:numId="63">
    <w:abstractNumId w:val="58"/>
  </w:num>
  <w:num w:numId="64">
    <w:abstractNumId w:val="48"/>
  </w:num>
  <w:num w:numId="65">
    <w:abstractNumId w:val="64"/>
  </w:num>
  <w:num w:numId="66">
    <w:abstractNumId w:val="5"/>
  </w:num>
  <w:num w:numId="67">
    <w:abstractNumId w:val="37"/>
  </w:num>
  <w:num w:numId="68">
    <w:abstractNumId w:val="32"/>
  </w:num>
  <w:num w:numId="69">
    <w:abstractNumId w:val="17"/>
  </w:num>
  <w:num w:numId="70">
    <w:abstractNumId w:val="38"/>
  </w:num>
  <w:num w:numId="71">
    <w:abstractNumId w:val="39"/>
  </w:num>
  <w:num w:numId="72">
    <w:abstractNumId w:val="34"/>
  </w:num>
  <w:num w:numId="73">
    <w:abstractNumId w:val="15"/>
  </w:num>
  <w:num w:numId="74">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2"/>
  </w:compat>
  <w:rsids>
    <w:rsidRoot w:val="00FA39B1"/>
    <w:rsid w:val="00000881"/>
    <w:rsid w:val="000017C7"/>
    <w:rsid w:val="000040AA"/>
    <w:rsid w:val="00004CFE"/>
    <w:rsid w:val="000051C9"/>
    <w:rsid w:val="000052AF"/>
    <w:rsid w:val="000055AF"/>
    <w:rsid w:val="000056D7"/>
    <w:rsid w:val="000059D1"/>
    <w:rsid w:val="0000735E"/>
    <w:rsid w:val="000128CA"/>
    <w:rsid w:val="00014834"/>
    <w:rsid w:val="000156BB"/>
    <w:rsid w:val="000162D2"/>
    <w:rsid w:val="0001741F"/>
    <w:rsid w:val="00020334"/>
    <w:rsid w:val="00020EF1"/>
    <w:rsid w:val="00021130"/>
    <w:rsid w:val="00022064"/>
    <w:rsid w:val="0002384F"/>
    <w:rsid w:val="00023F8E"/>
    <w:rsid w:val="00025057"/>
    <w:rsid w:val="00025739"/>
    <w:rsid w:val="00026F38"/>
    <w:rsid w:val="000272D1"/>
    <w:rsid w:val="00030101"/>
    <w:rsid w:val="00034321"/>
    <w:rsid w:val="00034DF4"/>
    <w:rsid w:val="00035560"/>
    <w:rsid w:val="00035739"/>
    <w:rsid w:val="00035AA8"/>
    <w:rsid w:val="000364C3"/>
    <w:rsid w:val="000370E2"/>
    <w:rsid w:val="00037329"/>
    <w:rsid w:val="000406EA"/>
    <w:rsid w:val="000409E9"/>
    <w:rsid w:val="000416FB"/>
    <w:rsid w:val="00041E3D"/>
    <w:rsid w:val="00042669"/>
    <w:rsid w:val="000451D7"/>
    <w:rsid w:val="000459CA"/>
    <w:rsid w:val="000465D4"/>
    <w:rsid w:val="000474C6"/>
    <w:rsid w:val="00050F18"/>
    <w:rsid w:val="0005126C"/>
    <w:rsid w:val="00051361"/>
    <w:rsid w:val="00053256"/>
    <w:rsid w:val="0005377E"/>
    <w:rsid w:val="00057541"/>
    <w:rsid w:val="00060827"/>
    <w:rsid w:val="00061B81"/>
    <w:rsid w:val="00064075"/>
    <w:rsid w:val="000644A4"/>
    <w:rsid w:val="0006585C"/>
    <w:rsid w:val="00067DE0"/>
    <w:rsid w:val="0007109B"/>
    <w:rsid w:val="00072038"/>
    <w:rsid w:val="00072227"/>
    <w:rsid w:val="00072A13"/>
    <w:rsid w:val="00073C2B"/>
    <w:rsid w:val="00073D67"/>
    <w:rsid w:val="00074D19"/>
    <w:rsid w:val="000774E6"/>
    <w:rsid w:val="00080403"/>
    <w:rsid w:val="0008181B"/>
    <w:rsid w:val="00082760"/>
    <w:rsid w:val="00083B39"/>
    <w:rsid w:val="00083E84"/>
    <w:rsid w:val="000843C9"/>
    <w:rsid w:val="00085A6A"/>
    <w:rsid w:val="00085DA5"/>
    <w:rsid w:val="0008662E"/>
    <w:rsid w:val="0009032B"/>
    <w:rsid w:val="00090385"/>
    <w:rsid w:val="0009098F"/>
    <w:rsid w:val="000917D7"/>
    <w:rsid w:val="0009233C"/>
    <w:rsid w:val="00092D0D"/>
    <w:rsid w:val="000931D0"/>
    <w:rsid w:val="000944FE"/>
    <w:rsid w:val="00097F5E"/>
    <w:rsid w:val="000A028F"/>
    <w:rsid w:val="000A042C"/>
    <w:rsid w:val="000A210B"/>
    <w:rsid w:val="000A2212"/>
    <w:rsid w:val="000A35E2"/>
    <w:rsid w:val="000A6634"/>
    <w:rsid w:val="000A7329"/>
    <w:rsid w:val="000B045F"/>
    <w:rsid w:val="000B1C60"/>
    <w:rsid w:val="000B1F77"/>
    <w:rsid w:val="000B2668"/>
    <w:rsid w:val="000B334F"/>
    <w:rsid w:val="000B377C"/>
    <w:rsid w:val="000B5D6B"/>
    <w:rsid w:val="000B6BF6"/>
    <w:rsid w:val="000B7A35"/>
    <w:rsid w:val="000C0014"/>
    <w:rsid w:val="000C2664"/>
    <w:rsid w:val="000C3120"/>
    <w:rsid w:val="000C57A5"/>
    <w:rsid w:val="000C6079"/>
    <w:rsid w:val="000C6617"/>
    <w:rsid w:val="000C6C42"/>
    <w:rsid w:val="000C736B"/>
    <w:rsid w:val="000D07C3"/>
    <w:rsid w:val="000D17B5"/>
    <w:rsid w:val="000D19B9"/>
    <w:rsid w:val="000D1A8F"/>
    <w:rsid w:val="000D2672"/>
    <w:rsid w:val="000D2A2B"/>
    <w:rsid w:val="000D3050"/>
    <w:rsid w:val="000D34B1"/>
    <w:rsid w:val="000D4EC3"/>
    <w:rsid w:val="000D6004"/>
    <w:rsid w:val="000D6243"/>
    <w:rsid w:val="000D670A"/>
    <w:rsid w:val="000D764A"/>
    <w:rsid w:val="000D7843"/>
    <w:rsid w:val="000E04C5"/>
    <w:rsid w:val="000E05EA"/>
    <w:rsid w:val="000E0FA8"/>
    <w:rsid w:val="000E1410"/>
    <w:rsid w:val="000E2038"/>
    <w:rsid w:val="000E2270"/>
    <w:rsid w:val="000E27FB"/>
    <w:rsid w:val="000E2ABB"/>
    <w:rsid w:val="000E2EAE"/>
    <w:rsid w:val="000E4C83"/>
    <w:rsid w:val="000E5BA3"/>
    <w:rsid w:val="000E5CE0"/>
    <w:rsid w:val="000E6975"/>
    <w:rsid w:val="000E6D27"/>
    <w:rsid w:val="000E78A7"/>
    <w:rsid w:val="000F03E9"/>
    <w:rsid w:val="000F0C2C"/>
    <w:rsid w:val="000F1ECD"/>
    <w:rsid w:val="000F3708"/>
    <w:rsid w:val="000F3BE5"/>
    <w:rsid w:val="000F4002"/>
    <w:rsid w:val="000F4F68"/>
    <w:rsid w:val="000F5433"/>
    <w:rsid w:val="000F5F53"/>
    <w:rsid w:val="000F686E"/>
    <w:rsid w:val="000F7222"/>
    <w:rsid w:val="000F7B01"/>
    <w:rsid w:val="00100B37"/>
    <w:rsid w:val="00100BAF"/>
    <w:rsid w:val="00102101"/>
    <w:rsid w:val="00102290"/>
    <w:rsid w:val="001027C1"/>
    <w:rsid w:val="001039B2"/>
    <w:rsid w:val="00104C46"/>
    <w:rsid w:val="00104CA2"/>
    <w:rsid w:val="00105967"/>
    <w:rsid w:val="001065C7"/>
    <w:rsid w:val="00106E44"/>
    <w:rsid w:val="00107B2D"/>
    <w:rsid w:val="001104EB"/>
    <w:rsid w:val="0011238B"/>
    <w:rsid w:val="001125E1"/>
    <w:rsid w:val="00112923"/>
    <w:rsid w:val="00112A92"/>
    <w:rsid w:val="00113101"/>
    <w:rsid w:val="00114345"/>
    <w:rsid w:val="00114D76"/>
    <w:rsid w:val="001161F6"/>
    <w:rsid w:val="00116550"/>
    <w:rsid w:val="00117258"/>
    <w:rsid w:val="00120321"/>
    <w:rsid w:val="001210E1"/>
    <w:rsid w:val="00121F7D"/>
    <w:rsid w:val="001224DD"/>
    <w:rsid w:val="001227F5"/>
    <w:rsid w:val="001228D2"/>
    <w:rsid w:val="00122A5D"/>
    <w:rsid w:val="00122A63"/>
    <w:rsid w:val="00123A06"/>
    <w:rsid w:val="00123DB4"/>
    <w:rsid w:val="001259F1"/>
    <w:rsid w:val="00125C6E"/>
    <w:rsid w:val="00125FC3"/>
    <w:rsid w:val="00127043"/>
    <w:rsid w:val="00130F09"/>
    <w:rsid w:val="00131EB2"/>
    <w:rsid w:val="0013316E"/>
    <w:rsid w:val="00134167"/>
    <w:rsid w:val="0013420C"/>
    <w:rsid w:val="00134638"/>
    <w:rsid w:val="0013621F"/>
    <w:rsid w:val="00136223"/>
    <w:rsid w:val="001403B7"/>
    <w:rsid w:val="00141E2E"/>
    <w:rsid w:val="00142566"/>
    <w:rsid w:val="00142771"/>
    <w:rsid w:val="0014294B"/>
    <w:rsid w:val="00142BB5"/>
    <w:rsid w:val="00143460"/>
    <w:rsid w:val="001440E3"/>
    <w:rsid w:val="001458DE"/>
    <w:rsid w:val="00146EA4"/>
    <w:rsid w:val="00147852"/>
    <w:rsid w:val="00147C23"/>
    <w:rsid w:val="00150348"/>
    <w:rsid w:val="001513D4"/>
    <w:rsid w:val="0015200E"/>
    <w:rsid w:val="00153B88"/>
    <w:rsid w:val="00156068"/>
    <w:rsid w:val="00156959"/>
    <w:rsid w:val="00157CEC"/>
    <w:rsid w:val="00160210"/>
    <w:rsid w:val="00160638"/>
    <w:rsid w:val="00160961"/>
    <w:rsid w:val="0016097C"/>
    <w:rsid w:val="0016182E"/>
    <w:rsid w:val="00162F8D"/>
    <w:rsid w:val="00163D71"/>
    <w:rsid w:val="00163EFD"/>
    <w:rsid w:val="00164709"/>
    <w:rsid w:val="0016502C"/>
    <w:rsid w:val="0016598D"/>
    <w:rsid w:val="00166F46"/>
    <w:rsid w:val="00172157"/>
    <w:rsid w:val="0017272C"/>
    <w:rsid w:val="00174A7B"/>
    <w:rsid w:val="00176B0E"/>
    <w:rsid w:val="0017787B"/>
    <w:rsid w:val="00177F0C"/>
    <w:rsid w:val="00180624"/>
    <w:rsid w:val="00180EEC"/>
    <w:rsid w:val="00181914"/>
    <w:rsid w:val="00181C3B"/>
    <w:rsid w:val="0018313B"/>
    <w:rsid w:val="001851EC"/>
    <w:rsid w:val="00185813"/>
    <w:rsid w:val="00185864"/>
    <w:rsid w:val="0018616E"/>
    <w:rsid w:val="001864A9"/>
    <w:rsid w:val="00186C4D"/>
    <w:rsid w:val="00186CD7"/>
    <w:rsid w:val="00186FB4"/>
    <w:rsid w:val="00187161"/>
    <w:rsid w:val="00187DE1"/>
    <w:rsid w:val="00190079"/>
    <w:rsid w:val="00190FE1"/>
    <w:rsid w:val="0019168F"/>
    <w:rsid w:val="00191885"/>
    <w:rsid w:val="00194283"/>
    <w:rsid w:val="00195462"/>
    <w:rsid w:val="0019630B"/>
    <w:rsid w:val="00196AB4"/>
    <w:rsid w:val="001975BD"/>
    <w:rsid w:val="001A25F8"/>
    <w:rsid w:val="001A28DA"/>
    <w:rsid w:val="001A3C15"/>
    <w:rsid w:val="001A3CD2"/>
    <w:rsid w:val="001A44AB"/>
    <w:rsid w:val="001A4D0C"/>
    <w:rsid w:val="001A51B3"/>
    <w:rsid w:val="001A5778"/>
    <w:rsid w:val="001A5EA8"/>
    <w:rsid w:val="001A6BBC"/>
    <w:rsid w:val="001B01EB"/>
    <w:rsid w:val="001B1B3E"/>
    <w:rsid w:val="001B2668"/>
    <w:rsid w:val="001B429C"/>
    <w:rsid w:val="001B42BF"/>
    <w:rsid w:val="001B5FEF"/>
    <w:rsid w:val="001B78F5"/>
    <w:rsid w:val="001C1B38"/>
    <w:rsid w:val="001C3207"/>
    <w:rsid w:val="001C3EDE"/>
    <w:rsid w:val="001C4745"/>
    <w:rsid w:val="001C6106"/>
    <w:rsid w:val="001C6D42"/>
    <w:rsid w:val="001C79E9"/>
    <w:rsid w:val="001C7DEC"/>
    <w:rsid w:val="001D0889"/>
    <w:rsid w:val="001D0994"/>
    <w:rsid w:val="001D0F97"/>
    <w:rsid w:val="001D1C67"/>
    <w:rsid w:val="001D294D"/>
    <w:rsid w:val="001D2DD6"/>
    <w:rsid w:val="001D334B"/>
    <w:rsid w:val="001D3EB6"/>
    <w:rsid w:val="001D407A"/>
    <w:rsid w:val="001D4A36"/>
    <w:rsid w:val="001D58B2"/>
    <w:rsid w:val="001D5AE5"/>
    <w:rsid w:val="001D5C9C"/>
    <w:rsid w:val="001D78C9"/>
    <w:rsid w:val="001E0312"/>
    <w:rsid w:val="001E207B"/>
    <w:rsid w:val="001E26FF"/>
    <w:rsid w:val="001E3FE2"/>
    <w:rsid w:val="001E4351"/>
    <w:rsid w:val="001E68C8"/>
    <w:rsid w:val="001E6A06"/>
    <w:rsid w:val="001E7AF4"/>
    <w:rsid w:val="001F123F"/>
    <w:rsid w:val="001F1A2C"/>
    <w:rsid w:val="001F2E86"/>
    <w:rsid w:val="001F42FA"/>
    <w:rsid w:val="001F46EB"/>
    <w:rsid w:val="00200B2E"/>
    <w:rsid w:val="00200E36"/>
    <w:rsid w:val="002011FA"/>
    <w:rsid w:val="00201AB6"/>
    <w:rsid w:val="00202155"/>
    <w:rsid w:val="002022BF"/>
    <w:rsid w:val="002037F2"/>
    <w:rsid w:val="0020393C"/>
    <w:rsid w:val="00204C96"/>
    <w:rsid w:val="002051D2"/>
    <w:rsid w:val="00205329"/>
    <w:rsid w:val="00205738"/>
    <w:rsid w:val="00206D38"/>
    <w:rsid w:val="00207323"/>
    <w:rsid w:val="00207DBE"/>
    <w:rsid w:val="00211921"/>
    <w:rsid w:val="002126E1"/>
    <w:rsid w:val="00212EEA"/>
    <w:rsid w:val="002133D0"/>
    <w:rsid w:val="00213651"/>
    <w:rsid w:val="00214722"/>
    <w:rsid w:val="002148C8"/>
    <w:rsid w:val="00215B37"/>
    <w:rsid w:val="00215F85"/>
    <w:rsid w:val="00216C60"/>
    <w:rsid w:val="0021749C"/>
    <w:rsid w:val="00222129"/>
    <w:rsid w:val="00223573"/>
    <w:rsid w:val="00223579"/>
    <w:rsid w:val="002247CE"/>
    <w:rsid w:val="0022489B"/>
    <w:rsid w:val="002260AA"/>
    <w:rsid w:val="002266FE"/>
    <w:rsid w:val="0022708E"/>
    <w:rsid w:val="00230CA1"/>
    <w:rsid w:val="0023185F"/>
    <w:rsid w:val="00233EFB"/>
    <w:rsid w:val="0023441C"/>
    <w:rsid w:val="00234757"/>
    <w:rsid w:val="00235AF4"/>
    <w:rsid w:val="00237D60"/>
    <w:rsid w:val="00237E70"/>
    <w:rsid w:val="00240016"/>
    <w:rsid w:val="002422DD"/>
    <w:rsid w:val="002452FF"/>
    <w:rsid w:val="00250ECA"/>
    <w:rsid w:val="00251C3B"/>
    <w:rsid w:val="00251FEA"/>
    <w:rsid w:val="00252F71"/>
    <w:rsid w:val="0025350A"/>
    <w:rsid w:val="0025378F"/>
    <w:rsid w:val="002537CE"/>
    <w:rsid w:val="00254567"/>
    <w:rsid w:val="00255A8A"/>
    <w:rsid w:val="00256582"/>
    <w:rsid w:val="0025775B"/>
    <w:rsid w:val="00257D52"/>
    <w:rsid w:val="002600E5"/>
    <w:rsid w:val="002602CC"/>
    <w:rsid w:val="00262A3B"/>
    <w:rsid w:val="00263DAC"/>
    <w:rsid w:val="002643A7"/>
    <w:rsid w:val="00264AFF"/>
    <w:rsid w:val="00265956"/>
    <w:rsid w:val="00270EAF"/>
    <w:rsid w:val="00272CC6"/>
    <w:rsid w:val="00272CCC"/>
    <w:rsid w:val="00273082"/>
    <w:rsid w:val="002733B5"/>
    <w:rsid w:val="002738FE"/>
    <w:rsid w:val="0027463C"/>
    <w:rsid w:val="00274F5B"/>
    <w:rsid w:val="00277D42"/>
    <w:rsid w:val="002805C5"/>
    <w:rsid w:val="00280AF4"/>
    <w:rsid w:val="00282224"/>
    <w:rsid w:val="00284152"/>
    <w:rsid w:val="00285F47"/>
    <w:rsid w:val="00287CA0"/>
    <w:rsid w:val="002903FF"/>
    <w:rsid w:val="002906D2"/>
    <w:rsid w:val="002927BC"/>
    <w:rsid w:val="00293B70"/>
    <w:rsid w:val="002941A2"/>
    <w:rsid w:val="00294A00"/>
    <w:rsid w:val="00296F29"/>
    <w:rsid w:val="0029717F"/>
    <w:rsid w:val="002A00F8"/>
    <w:rsid w:val="002A142D"/>
    <w:rsid w:val="002A181E"/>
    <w:rsid w:val="002A2EDD"/>
    <w:rsid w:val="002A41C7"/>
    <w:rsid w:val="002A57C4"/>
    <w:rsid w:val="002A5B2B"/>
    <w:rsid w:val="002A7A53"/>
    <w:rsid w:val="002B1BA8"/>
    <w:rsid w:val="002B2627"/>
    <w:rsid w:val="002B2AAF"/>
    <w:rsid w:val="002B3ABC"/>
    <w:rsid w:val="002B3FFB"/>
    <w:rsid w:val="002B43C0"/>
    <w:rsid w:val="002B595A"/>
    <w:rsid w:val="002B75D7"/>
    <w:rsid w:val="002B7DAA"/>
    <w:rsid w:val="002C2050"/>
    <w:rsid w:val="002C3868"/>
    <w:rsid w:val="002C386E"/>
    <w:rsid w:val="002C3E17"/>
    <w:rsid w:val="002C4EF6"/>
    <w:rsid w:val="002C64C1"/>
    <w:rsid w:val="002C6ABC"/>
    <w:rsid w:val="002C71F7"/>
    <w:rsid w:val="002C7994"/>
    <w:rsid w:val="002D0EB4"/>
    <w:rsid w:val="002D1CC4"/>
    <w:rsid w:val="002D328C"/>
    <w:rsid w:val="002D4B8E"/>
    <w:rsid w:val="002D7267"/>
    <w:rsid w:val="002E1044"/>
    <w:rsid w:val="002E1216"/>
    <w:rsid w:val="002E18CD"/>
    <w:rsid w:val="002E5665"/>
    <w:rsid w:val="002E608A"/>
    <w:rsid w:val="002E674A"/>
    <w:rsid w:val="002E730B"/>
    <w:rsid w:val="002E7666"/>
    <w:rsid w:val="002E78CE"/>
    <w:rsid w:val="002F05BA"/>
    <w:rsid w:val="002F15AD"/>
    <w:rsid w:val="002F16DE"/>
    <w:rsid w:val="002F2A53"/>
    <w:rsid w:val="002F609F"/>
    <w:rsid w:val="002F6B25"/>
    <w:rsid w:val="002F74A7"/>
    <w:rsid w:val="00300218"/>
    <w:rsid w:val="00300628"/>
    <w:rsid w:val="00300C93"/>
    <w:rsid w:val="0030199C"/>
    <w:rsid w:val="00301C68"/>
    <w:rsid w:val="00302733"/>
    <w:rsid w:val="0030292D"/>
    <w:rsid w:val="00305C84"/>
    <w:rsid w:val="00305ED9"/>
    <w:rsid w:val="003068C8"/>
    <w:rsid w:val="003076DA"/>
    <w:rsid w:val="00310500"/>
    <w:rsid w:val="00312051"/>
    <w:rsid w:val="00312EC3"/>
    <w:rsid w:val="0031467F"/>
    <w:rsid w:val="003156A0"/>
    <w:rsid w:val="0031590E"/>
    <w:rsid w:val="00316138"/>
    <w:rsid w:val="003162D5"/>
    <w:rsid w:val="00316EFC"/>
    <w:rsid w:val="00317CF4"/>
    <w:rsid w:val="00317D5F"/>
    <w:rsid w:val="00320305"/>
    <w:rsid w:val="00320BE1"/>
    <w:rsid w:val="00321324"/>
    <w:rsid w:val="00321DF0"/>
    <w:rsid w:val="0032227D"/>
    <w:rsid w:val="0032329C"/>
    <w:rsid w:val="00324A36"/>
    <w:rsid w:val="00324BA1"/>
    <w:rsid w:val="00326936"/>
    <w:rsid w:val="00327457"/>
    <w:rsid w:val="003302BD"/>
    <w:rsid w:val="003303DC"/>
    <w:rsid w:val="00330803"/>
    <w:rsid w:val="00331267"/>
    <w:rsid w:val="003326CF"/>
    <w:rsid w:val="00332A9D"/>
    <w:rsid w:val="0033429E"/>
    <w:rsid w:val="0033440E"/>
    <w:rsid w:val="00334F0D"/>
    <w:rsid w:val="003402E7"/>
    <w:rsid w:val="00340945"/>
    <w:rsid w:val="003430FE"/>
    <w:rsid w:val="003434C3"/>
    <w:rsid w:val="003444C4"/>
    <w:rsid w:val="00347345"/>
    <w:rsid w:val="00352DD9"/>
    <w:rsid w:val="003535B8"/>
    <w:rsid w:val="00353B49"/>
    <w:rsid w:val="003554D8"/>
    <w:rsid w:val="00357F48"/>
    <w:rsid w:val="00361B25"/>
    <w:rsid w:val="003623E0"/>
    <w:rsid w:val="00363013"/>
    <w:rsid w:val="0036313D"/>
    <w:rsid w:val="0036414C"/>
    <w:rsid w:val="00364AD8"/>
    <w:rsid w:val="00364FB3"/>
    <w:rsid w:val="0036677F"/>
    <w:rsid w:val="00366F52"/>
    <w:rsid w:val="00367D68"/>
    <w:rsid w:val="00370739"/>
    <w:rsid w:val="00370E11"/>
    <w:rsid w:val="00371833"/>
    <w:rsid w:val="0037366C"/>
    <w:rsid w:val="003743AB"/>
    <w:rsid w:val="00375B21"/>
    <w:rsid w:val="0037605B"/>
    <w:rsid w:val="00377C85"/>
    <w:rsid w:val="00377D5D"/>
    <w:rsid w:val="00381D29"/>
    <w:rsid w:val="00381F77"/>
    <w:rsid w:val="00382E32"/>
    <w:rsid w:val="0038416C"/>
    <w:rsid w:val="003854F3"/>
    <w:rsid w:val="003866C2"/>
    <w:rsid w:val="0038783F"/>
    <w:rsid w:val="00387D16"/>
    <w:rsid w:val="00392112"/>
    <w:rsid w:val="00393D3E"/>
    <w:rsid w:val="003941FD"/>
    <w:rsid w:val="00394314"/>
    <w:rsid w:val="00396085"/>
    <w:rsid w:val="00397853"/>
    <w:rsid w:val="003A0C5A"/>
    <w:rsid w:val="003A1901"/>
    <w:rsid w:val="003A2E7C"/>
    <w:rsid w:val="003A4218"/>
    <w:rsid w:val="003A4451"/>
    <w:rsid w:val="003A45C2"/>
    <w:rsid w:val="003A578D"/>
    <w:rsid w:val="003A57F6"/>
    <w:rsid w:val="003A5FCF"/>
    <w:rsid w:val="003A619B"/>
    <w:rsid w:val="003A7CD4"/>
    <w:rsid w:val="003B05F6"/>
    <w:rsid w:val="003B12CD"/>
    <w:rsid w:val="003B1D4B"/>
    <w:rsid w:val="003B4997"/>
    <w:rsid w:val="003B5025"/>
    <w:rsid w:val="003B5480"/>
    <w:rsid w:val="003B5844"/>
    <w:rsid w:val="003B5AEF"/>
    <w:rsid w:val="003B60A8"/>
    <w:rsid w:val="003B625F"/>
    <w:rsid w:val="003B68FF"/>
    <w:rsid w:val="003B6E4E"/>
    <w:rsid w:val="003B6EFE"/>
    <w:rsid w:val="003B78C5"/>
    <w:rsid w:val="003B7E34"/>
    <w:rsid w:val="003C3A3E"/>
    <w:rsid w:val="003C44D4"/>
    <w:rsid w:val="003C7621"/>
    <w:rsid w:val="003D0730"/>
    <w:rsid w:val="003D1575"/>
    <w:rsid w:val="003D2B5E"/>
    <w:rsid w:val="003D33A0"/>
    <w:rsid w:val="003D3C34"/>
    <w:rsid w:val="003D5BCE"/>
    <w:rsid w:val="003D634A"/>
    <w:rsid w:val="003D6D72"/>
    <w:rsid w:val="003D7B19"/>
    <w:rsid w:val="003D7C70"/>
    <w:rsid w:val="003E17D9"/>
    <w:rsid w:val="003E1F67"/>
    <w:rsid w:val="003E35F9"/>
    <w:rsid w:val="003E3A4B"/>
    <w:rsid w:val="003E4050"/>
    <w:rsid w:val="003E4092"/>
    <w:rsid w:val="003E466A"/>
    <w:rsid w:val="003E5A59"/>
    <w:rsid w:val="003E7D13"/>
    <w:rsid w:val="003F104E"/>
    <w:rsid w:val="003F13C6"/>
    <w:rsid w:val="003F178D"/>
    <w:rsid w:val="003F19AC"/>
    <w:rsid w:val="003F6038"/>
    <w:rsid w:val="003F6FCC"/>
    <w:rsid w:val="00400C15"/>
    <w:rsid w:val="00400E3D"/>
    <w:rsid w:val="004011E4"/>
    <w:rsid w:val="00403466"/>
    <w:rsid w:val="004034E5"/>
    <w:rsid w:val="00403D8D"/>
    <w:rsid w:val="0040406A"/>
    <w:rsid w:val="00405183"/>
    <w:rsid w:val="0040550E"/>
    <w:rsid w:val="0040641A"/>
    <w:rsid w:val="00406858"/>
    <w:rsid w:val="004075A7"/>
    <w:rsid w:val="00407C16"/>
    <w:rsid w:val="004105BE"/>
    <w:rsid w:val="00411D02"/>
    <w:rsid w:val="00411D45"/>
    <w:rsid w:val="00412642"/>
    <w:rsid w:val="00413DD1"/>
    <w:rsid w:val="004158EF"/>
    <w:rsid w:val="004159A6"/>
    <w:rsid w:val="00416667"/>
    <w:rsid w:val="00416B8F"/>
    <w:rsid w:val="00416BAC"/>
    <w:rsid w:val="00417BA0"/>
    <w:rsid w:val="0042007E"/>
    <w:rsid w:val="00420756"/>
    <w:rsid w:val="00424C73"/>
    <w:rsid w:val="004253F5"/>
    <w:rsid w:val="00426CD7"/>
    <w:rsid w:val="004303E1"/>
    <w:rsid w:val="004305A5"/>
    <w:rsid w:val="00430DF1"/>
    <w:rsid w:val="0043123C"/>
    <w:rsid w:val="00432AFA"/>
    <w:rsid w:val="00432CA7"/>
    <w:rsid w:val="004341C0"/>
    <w:rsid w:val="00440687"/>
    <w:rsid w:val="00440974"/>
    <w:rsid w:val="00442F6A"/>
    <w:rsid w:val="004432BF"/>
    <w:rsid w:val="00444B3D"/>
    <w:rsid w:val="004455F1"/>
    <w:rsid w:val="004458B9"/>
    <w:rsid w:val="0044596F"/>
    <w:rsid w:val="00446DE0"/>
    <w:rsid w:val="004502C9"/>
    <w:rsid w:val="004506C3"/>
    <w:rsid w:val="00450EB1"/>
    <w:rsid w:val="00450F6D"/>
    <w:rsid w:val="004532C6"/>
    <w:rsid w:val="00456C4D"/>
    <w:rsid w:val="00457265"/>
    <w:rsid w:val="004602BD"/>
    <w:rsid w:val="00460A16"/>
    <w:rsid w:val="004626F4"/>
    <w:rsid w:val="00462731"/>
    <w:rsid w:val="004627F1"/>
    <w:rsid w:val="00462D3E"/>
    <w:rsid w:val="00462E06"/>
    <w:rsid w:val="0046397B"/>
    <w:rsid w:val="0046398E"/>
    <w:rsid w:val="00463A9D"/>
    <w:rsid w:val="004644C7"/>
    <w:rsid w:val="0046486B"/>
    <w:rsid w:val="0046486C"/>
    <w:rsid w:val="004653F1"/>
    <w:rsid w:val="00467F15"/>
    <w:rsid w:val="00471AD4"/>
    <w:rsid w:val="00472160"/>
    <w:rsid w:val="0047266B"/>
    <w:rsid w:val="00472E8A"/>
    <w:rsid w:val="0047315A"/>
    <w:rsid w:val="00474BFA"/>
    <w:rsid w:val="00480004"/>
    <w:rsid w:val="00483E1C"/>
    <w:rsid w:val="0048702D"/>
    <w:rsid w:val="004878B9"/>
    <w:rsid w:val="004923D6"/>
    <w:rsid w:val="00492403"/>
    <w:rsid w:val="004925E7"/>
    <w:rsid w:val="00494D66"/>
    <w:rsid w:val="004956DD"/>
    <w:rsid w:val="00496983"/>
    <w:rsid w:val="004A1587"/>
    <w:rsid w:val="004A15F0"/>
    <w:rsid w:val="004A207D"/>
    <w:rsid w:val="004A64D7"/>
    <w:rsid w:val="004B003A"/>
    <w:rsid w:val="004B06F8"/>
    <w:rsid w:val="004B26E9"/>
    <w:rsid w:val="004B349F"/>
    <w:rsid w:val="004B370A"/>
    <w:rsid w:val="004B37D8"/>
    <w:rsid w:val="004B38A2"/>
    <w:rsid w:val="004B40F5"/>
    <w:rsid w:val="004B4149"/>
    <w:rsid w:val="004B4451"/>
    <w:rsid w:val="004B45D5"/>
    <w:rsid w:val="004B4AFC"/>
    <w:rsid w:val="004B4B54"/>
    <w:rsid w:val="004B53B9"/>
    <w:rsid w:val="004B5760"/>
    <w:rsid w:val="004B5D00"/>
    <w:rsid w:val="004B69AE"/>
    <w:rsid w:val="004B7947"/>
    <w:rsid w:val="004C0FA2"/>
    <w:rsid w:val="004C10C3"/>
    <w:rsid w:val="004C4498"/>
    <w:rsid w:val="004C596C"/>
    <w:rsid w:val="004C624F"/>
    <w:rsid w:val="004C6C5C"/>
    <w:rsid w:val="004D0287"/>
    <w:rsid w:val="004D0B80"/>
    <w:rsid w:val="004D0C67"/>
    <w:rsid w:val="004D1BD5"/>
    <w:rsid w:val="004D2513"/>
    <w:rsid w:val="004D4AB9"/>
    <w:rsid w:val="004D53DC"/>
    <w:rsid w:val="004D576F"/>
    <w:rsid w:val="004D596A"/>
    <w:rsid w:val="004D7814"/>
    <w:rsid w:val="004D7DFB"/>
    <w:rsid w:val="004E03BA"/>
    <w:rsid w:val="004E196F"/>
    <w:rsid w:val="004E1C5D"/>
    <w:rsid w:val="004E35B3"/>
    <w:rsid w:val="004E3CBC"/>
    <w:rsid w:val="004E516F"/>
    <w:rsid w:val="004E5279"/>
    <w:rsid w:val="004E5D92"/>
    <w:rsid w:val="004E7C6F"/>
    <w:rsid w:val="004F0463"/>
    <w:rsid w:val="004F049D"/>
    <w:rsid w:val="004F2774"/>
    <w:rsid w:val="004F2DDC"/>
    <w:rsid w:val="004F3976"/>
    <w:rsid w:val="004F4899"/>
    <w:rsid w:val="004F53F0"/>
    <w:rsid w:val="004F564A"/>
    <w:rsid w:val="004F71AC"/>
    <w:rsid w:val="00500362"/>
    <w:rsid w:val="005006AA"/>
    <w:rsid w:val="00502F46"/>
    <w:rsid w:val="00506E8E"/>
    <w:rsid w:val="00507011"/>
    <w:rsid w:val="00507250"/>
    <w:rsid w:val="0050771C"/>
    <w:rsid w:val="00507E4C"/>
    <w:rsid w:val="00513142"/>
    <w:rsid w:val="00513D2A"/>
    <w:rsid w:val="00513E0F"/>
    <w:rsid w:val="00514345"/>
    <w:rsid w:val="00514EF1"/>
    <w:rsid w:val="00515082"/>
    <w:rsid w:val="00515405"/>
    <w:rsid w:val="005163C0"/>
    <w:rsid w:val="00517717"/>
    <w:rsid w:val="00517767"/>
    <w:rsid w:val="00517B07"/>
    <w:rsid w:val="00520A07"/>
    <w:rsid w:val="00521B68"/>
    <w:rsid w:val="00521D58"/>
    <w:rsid w:val="00522627"/>
    <w:rsid w:val="00523B3F"/>
    <w:rsid w:val="0052510E"/>
    <w:rsid w:val="005251F3"/>
    <w:rsid w:val="005254E2"/>
    <w:rsid w:val="00525D4E"/>
    <w:rsid w:val="0052629A"/>
    <w:rsid w:val="00526558"/>
    <w:rsid w:val="00526B09"/>
    <w:rsid w:val="0053029E"/>
    <w:rsid w:val="00531203"/>
    <w:rsid w:val="00531449"/>
    <w:rsid w:val="00531C4F"/>
    <w:rsid w:val="00531C8E"/>
    <w:rsid w:val="00532192"/>
    <w:rsid w:val="00533DB7"/>
    <w:rsid w:val="005352DC"/>
    <w:rsid w:val="0053576D"/>
    <w:rsid w:val="005357A5"/>
    <w:rsid w:val="00536331"/>
    <w:rsid w:val="00541CCA"/>
    <w:rsid w:val="00541FF2"/>
    <w:rsid w:val="00543C87"/>
    <w:rsid w:val="00544919"/>
    <w:rsid w:val="005462D2"/>
    <w:rsid w:val="00546662"/>
    <w:rsid w:val="00546EDF"/>
    <w:rsid w:val="00547409"/>
    <w:rsid w:val="00547966"/>
    <w:rsid w:val="00550BF5"/>
    <w:rsid w:val="00551CF3"/>
    <w:rsid w:val="00552053"/>
    <w:rsid w:val="00552BBE"/>
    <w:rsid w:val="00553333"/>
    <w:rsid w:val="00554E71"/>
    <w:rsid w:val="00555418"/>
    <w:rsid w:val="0055606F"/>
    <w:rsid w:val="00556A6B"/>
    <w:rsid w:val="00556AC3"/>
    <w:rsid w:val="005604F4"/>
    <w:rsid w:val="005617B6"/>
    <w:rsid w:val="00561C98"/>
    <w:rsid w:val="005636CD"/>
    <w:rsid w:val="00563731"/>
    <w:rsid w:val="00563EAB"/>
    <w:rsid w:val="00564245"/>
    <w:rsid w:val="0056487B"/>
    <w:rsid w:val="0056596F"/>
    <w:rsid w:val="00567647"/>
    <w:rsid w:val="00570786"/>
    <w:rsid w:val="0057086A"/>
    <w:rsid w:val="00570CB4"/>
    <w:rsid w:val="005713A1"/>
    <w:rsid w:val="005718DF"/>
    <w:rsid w:val="00571DC1"/>
    <w:rsid w:val="00571DD0"/>
    <w:rsid w:val="00572039"/>
    <w:rsid w:val="005722BB"/>
    <w:rsid w:val="00572364"/>
    <w:rsid w:val="00572E01"/>
    <w:rsid w:val="00572FDD"/>
    <w:rsid w:val="00574C77"/>
    <w:rsid w:val="00574E1C"/>
    <w:rsid w:val="00575EC6"/>
    <w:rsid w:val="00576B8C"/>
    <w:rsid w:val="00577D3E"/>
    <w:rsid w:val="005803AB"/>
    <w:rsid w:val="0058151C"/>
    <w:rsid w:val="00582B02"/>
    <w:rsid w:val="00584A31"/>
    <w:rsid w:val="00584A73"/>
    <w:rsid w:val="00586DC0"/>
    <w:rsid w:val="0058712B"/>
    <w:rsid w:val="00590346"/>
    <w:rsid w:val="00590645"/>
    <w:rsid w:val="00591105"/>
    <w:rsid w:val="0059118A"/>
    <w:rsid w:val="0059131B"/>
    <w:rsid w:val="005916E0"/>
    <w:rsid w:val="00593125"/>
    <w:rsid w:val="00595125"/>
    <w:rsid w:val="00595594"/>
    <w:rsid w:val="00595EF1"/>
    <w:rsid w:val="005966E8"/>
    <w:rsid w:val="00596ADD"/>
    <w:rsid w:val="005970B1"/>
    <w:rsid w:val="005A0812"/>
    <w:rsid w:val="005A0A18"/>
    <w:rsid w:val="005A1CEE"/>
    <w:rsid w:val="005A1FB2"/>
    <w:rsid w:val="005A2701"/>
    <w:rsid w:val="005A275E"/>
    <w:rsid w:val="005A2CBF"/>
    <w:rsid w:val="005A330E"/>
    <w:rsid w:val="005A6252"/>
    <w:rsid w:val="005A643A"/>
    <w:rsid w:val="005A74AF"/>
    <w:rsid w:val="005A7B22"/>
    <w:rsid w:val="005B129D"/>
    <w:rsid w:val="005B145B"/>
    <w:rsid w:val="005B1781"/>
    <w:rsid w:val="005B2E04"/>
    <w:rsid w:val="005B483C"/>
    <w:rsid w:val="005B4F3E"/>
    <w:rsid w:val="005B5067"/>
    <w:rsid w:val="005B54D0"/>
    <w:rsid w:val="005B5AEA"/>
    <w:rsid w:val="005B61F2"/>
    <w:rsid w:val="005C0018"/>
    <w:rsid w:val="005C03A9"/>
    <w:rsid w:val="005C0C2D"/>
    <w:rsid w:val="005C0F06"/>
    <w:rsid w:val="005C0F4D"/>
    <w:rsid w:val="005C26C0"/>
    <w:rsid w:val="005C41FE"/>
    <w:rsid w:val="005C4447"/>
    <w:rsid w:val="005C543D"/>
    <w:rsid w:val="005C5B26"/>
    <w:rsid w:val="005C640C"/>
    <w:rsid w:val="005C7CD4"/>
    <w:rsid w:val="005C7D99"/>
    <w:rsid w:val="005D0607"/>
    <w:rsid w:val="005D092D"/>
    <w:rsid w:val="005D1A0D"/>
    <w:rsid w:val="005D29E5"/>
    <w:rsid w:val="005D403E"/>
    <w:rsid w:val="005D440F"/>
    <w:rsid w:val="005D4981"/>
    <w:rsid w:val="005D5CDD"/>
    <w:rsid w:val="005D7470"/>
    <w:rsid w:val="005D7535"/>
    <w:rsid w:val="005E2A39"/>
    <w:rsid w:val="005E2C7C"/>
    <w:rsid w:val="005E349E"/>
    <w:rsid w:val="005E571E"/>
    <w:rsid w:val="005E63DB"/>
    <w:rsid w:val="005E6CA0"/>
    <w:rsid w:val="005E7576"/>
    <w:rsid w:val="005F364A"/>
    <w:rsid w:val="005F3CED"/>
    <w:rsid w:val="005F5554"/>
    <w:rsid w:val="005F5F86"/>
    <w:rsid w:val="005F618C"/>
    <w:rsid w:val="005F6BAA"/>
    <w:rsid w:val="005F7CB2"/>
    <w:rsid w:val="00600C3E"/>
    <w:rsid w:val="0060315A"/>
    <w:rsid w:val="00603ACE"/>
    <w:rsid w:val="0060472F"/>
    <w:rsid w:val="00604E73"/>
    <w:rsid w:val="006053D6"/>
    <w:rsid w:val="00605C0C"/>
    <w:rsid w:val="0061045B"/>
    <w:rsid w:val="00610C80"/>
    <w:rsid w:val="006134B8"/>
    <w:rsid w:val="00613D3A"/>
    <w:rsid w:val="00613EEA"/>
    <w:rsid w:val="006147CA"/>
    <w:rsid w:val="00614F2A"/>
    <w:rsid w:val="006150EC"/>
    <w:rsid w:val="00615BC0"/>
    <w:rsid w:val="00615DC6"/>
    <w:rsid w:val="00616612"/>
    <w:rsid w:val="00616BE9"/>
    <w:rsid w:val="00616FA1"/>
    <w:rsid w:val="006231E3"/>
    <w:rsid w:val="006242A6"/>
    <w:rsid w:val="00625673"/>
    <w:rsid w:val="006259F8"/>
    <w:rsid w:val="00625F96"/>
    <w:rsid w:val="006269B8"/>
    <w:rsid w:val="00626E82"/>
    <w:rsid w:val="00630B05"/>
    <w:rsid w:val="006327CF"/>
    <w:rsid w:val="00632BF0"/>
    <w:rsid w:val="00633CC7"/>
    <w:rsid w:val="00633D56"/>
    <w:rsid w:val="006342C5"/>
    <w:rsid w:val="0063493B"/>
    <w:rsid w:val="00635FB0"/>
    <w:rsid w:val="00636B4E"/>
    <w:rsid w:val="00637481"/>
    <w:rsid w:val="0063749E"/>
    <w:rsid w:val="00637DF6"/>
    <w:rsid w:val="00640388"/>
    <w:rsid w:val="00640C22"/>
    <w:rsid w:val="0064156C"/>
    <w:rsid w:val="00642B4A"/>
    <w:rsid w:val="00643EAA"/>
    <w:rsid w:val="0064408C"/>
    <w:rsid w:val="0064521A"/>
    <w:rsid w:val="00645E25"/>
    <w:rsid w:val="00645EF5"/>
    <w:rsid w:val="00646F85"/>
    <w:rsid w:val="00647247"/>
    <w:rsid w:val="0064759B"/>
    <w:rsid w:val="006531B8"/>
    <w:rsid w:val="00654632"/>
    <w:rsid w:val="006548E5"/>
    <w:rsid w:val="00654BE1"/>
    <w:rsid w:val="00656442"/>
    <w:rsid w:val="00656CC7"/>
    <w:rsid w:val="00660403"/>
    <w:rsid w:val="006608F5"/>
    <w:rsid w:val="00660A92"/>
    <w:rsid w:val="006610F0"/>
    <w:rsid w:val="00661522"/>
    <w:rsid w:val="00661D26"/>
    <w:rsid w:val="00663D00"/>
    <w:rsid w:val="00665CAB"/>
    <w:rsid w:val="00666F81"/>
    <w:rsid w:val="006670F4"/>
    <w:rsid w:val="006678D0"/>
    <w:rsid w:val="00667DA5"/>
    <w:rsid w:val="00672D5D"/>
    <w:rsid w:val="006735FD"/>
    <w:rsid w:val="006768DE"/>
    <w:rsid w:val="00676C5E"/>
    <w:rsid w:val="00676CDD"/>
    <w:rsid w:val="00677385"/>
    <w:rsid w:val="0067781D"/>
    <w:rsid w:val="00681DFF"/>
    <w:rsid w:val="00684745"/>
    <w:rsid w:val="00687CC2"/>
    <w:rsid w:val="006910D3"/>
    <w:rsid w:val="006916D3"/>
    <w:rsid w:val="006922A4"/>
    <w:rsid w:val="00692E8B"/>
    <w:rsid w:val="00693570"/>
    <w:rsid w:val="00693899"/>
    <w:rsid w:val="006951A9"/>
    <w:rsid w:val="006958D1"/>
    <w:rsid w:val="006959C5"/>
    <w:rsid w:val="006959E1"/>
    <w:rsid w:val="00695FA9"/>
    <w:rsid w:val="00696B7E"/>
    <w:rsid w:val="00697A77"/>
    <w:rsid w:val="006A0590"/>
    <w:rsid w:val="006A05B1"/>
    <w:rsid w:val="006A0E2F"/>
    <w:rsid w:val="006A39F1"/>
    <w:rsid w:val="006A3A73"/>
    <w:rsid w:val="006A3FE7"/>
    <w:rsid w:val="006A6F87"/>
    <w:rsid w:val="006A741F"/>
    <w:rsid w:val="006B0CE5"/>
    <w:rsid w:val="006B0F4A"/>
    <w:rsid w:val="006B1116"/>
    <w:rsid w:val="006B14BF"/>
    <w:rsid w:val="006B2952"/>
    <w:rsid w:val="006B2D60"/>
    <w:rsid w:val="006B3773"/>
    <w:rsid w:val="006B3C15"/>
    <w:rsid w:val="006B3D35"/>
    <w:rsid w:val="006B7123"/>
    <w:rsid w:val="006B78CB"/>
    <w:rsid w:val="006C00E1"/>
    <w:rsid w:val="006C1BB0"/>
    <w:rsid w:val="006C1EA1"/>
    <w:rsid w:val="006C33A2"/>
    <w:rsid w:val="006C37E8"/>
    <w:rsid w:val="006C3E0B"/>
    <w:rsid w:val="006D0386"/>
    <w:rsid w:val="006D03ED"/>
    <w:rsid w:val="006D148B"/>
    <w:rsid w:val="006D18DF"/>
    <w:rsid w:val="006D2055"/>
    <w:rsid w:val="006D26C3"/>
    <w:rsid w:val="006D2CA0"/>
    <w:rsid w:val="006D3A59"/>
    <w:rsid w:val="006D3E67"/>
    <w:rsid w:val="006D49E0"/>
    <w:rsid w:val="006D4F33"/>
    <w:rsid w:val="006D64B6"/>
    <w:rsid w:val="006D7156"/>
    <w:rsid w:val="006D793D"/>
    <w:rsid w:val="006E0075"/>
    <w:rsid w:val="006E0411"/>
    <w:rsid w:val="006E13E0"/>
    <w:rsid w:val="006E14F4"/>
    <w:rsid w:val="006E202E"/>
    <w:rsid w:val="006E2918"/>
    <w:rsid w:val="006E3B09"/>
    <w:rsid w:val="006E4D07"/>
    <w:rsid w:val="006E4F4B"/>
    <w:rsid w:val="006E52A8"/>
    <w:rsid w:val="006E692E"/>
    <w:rsid w:val="006E75BF"/>
    <w:rsid w:val="006F0942"/>
    <w:rsid w:val="006F2D4D"/>
    <w:rsid w:val="006F3EE3"/>
    <w:rsid w:val="006F4FC7"/>
    <w:rsid w:val="006F67A6"/>
    <w:rsid w:val="006F72FA"/>
    <w:rsid w:val="006F7BC7"/>
    <w:rsid w:val="006F7EA2"/>
    <w:rsid w:val="0070157E"/>
    <w:rsid w:val="007019CF"/>
    <w:rsid w:val="007036D9"/>
    <w:rsid w:val="0070453B"/>
    <w:rsid w:val="00704622"/>
    <w:rsid w:val="00704845"/>
    <w:rsid w:val="00704F18"/>
    <w:rsid w:val="0070503E"/>
    <w:rsid w:val="00705A5A"/>
    <w:rsid w:val="00707344"/>
    <w:rsid w:val="0071076B"/>
    <w:rsid w:val="007110CF"/>
    <w:rsid w:val="00711B87"/>
    <w:rsid w:val="007127EF"/>
    <w:rsid w:val="00712F1F"/>
    <w:rsid w:val="00714137"/>
    <w:rsid w:val="00715032"/>
    <w:rsid w:val="007157CA"/>
    <w:rsid w:val="0071592A"/>
    <w:rsid w:val="00715A32"/>
    <w:rsid w:val="00715B21"/>
    <w:rsid w:val="00715E5C"/>
    <w:rsid w:val="00717729"/>
    <w:rsid w:val="0072023B"/>
    <w:rsid w:val="00720371"/>
    <w:rsid w:val="00720CDE"/>
    <w:rsid w:val="00721515"/>
    <w:rsid w:val="007217F3"/>
    <w:rsid w:val="00723175"/>
    <w:rsid w:val="00724BE9"/>
    <w:rsid w:val="00726417"/>
    <w:rsid w:val="0073009E"/>
    <w:rsid w:val="00730AAE"/>
    <w:rsid w:val="00730F15"/>
    <w:rsid w:val="007314AA"/>
    <w:rsid w:val="00731CB3"/>
    <w:rsid w:val="0073224D"/>
    <w:rsid w:val="0073252F"/>
    <w:rsid w:val="00732B7A"/>
    <w:rsid w:val="00733539"/>
    <w:rsid w:val="00733C74"/>
    <w:rsid w:val="00733CC2"/>
    <w:rsid w:val="00734F07"/>
    <w:rsid w:val="00735276"/>
    <w:rsid w:val="00735719"/>
    <w:rsid w:val="00736308"/>
    <w:rsid w:val="0073637C"/>
    <w:rsid w:val="007365EB"/>
    <w:rsid w:val="00740397"/>
    <w:rsid w:val="00740E5C"/>
    <w:rsid w:val="00741212"/>
    <w:rsid w:val="007417E1"/>
    <w:rsid w:val="00744351"/>
    <w:rsid w:val="0074460C"/>
    <w:rsid w:val="0074492C"/>
    <w:rsid w:val="007502B2"/>
    <w:rsid w:val="00751259"/>
    <w:rsid w:val="00751D01"/>
    <w:rsid w:val="00753EF2"/>
    <w:rsid w:val="00753F4E"/>
    <w:rsid w:val="00755788"/>
    <w:rsid w:val="007558E3"/>
    <w:rsid w:val="00755C09"/>
    <w:rsid w:val="00755ED0"/>
    <w:rsid w:val="00756ECA"/>
    <w:rsid w:val="00757F43"/>
    <w:rsid w:val="007614CB"/>
    <w:rsid w:val="00761526"/>
    <w:rsid w:val="00762A20"/>
    <w:rsid w:val="00762E93"/>
    <w:rsid w:val="007641C1"/>
    <w:rsid w:val="00765032"/>
    <w:rsid w:val="0076607E"/>
    <w:rsid w:val="00766965"/>
    <w:rsid w:val="00766FAB"/>
    <w:rsid w:val="00770096"/>
    <w:rsid w:val="007708CA"/>
    <w:rsid w:val="00772BAD"/>
    <w:rsid w:val="0077399E"/>
    <w:rsid w:val="00774125"/>
    <w:rsid w:val="00774217"/>
    <w:rsid w:val="00774EA0"/>
    <w:rsid w:val="0077524B"/>
    <w:rsid w:val="00777651"/>
    <w:rsid w:val="00780776"/>
    <w:rsid w:val="00780ABF"/>
    <w:rsid w:val="00780DE2"/>
    <w:rsid w:val="007811E3"/>
    <w:rsid w:val="00785F87"/>
    <w:rsid w:val="0078621E"/>
    <w:rsid w:val="007864DA"/>
    <w:rsid w:val="00786F75"/>
    <w:rsid w:val="007873D9"/>
    <w:rsid w:val="0079023D"/>
    <w:rsid w:val="007911EE"/>
    <w:rsid w:val="007914CC"/>
    <w:rsid w:val="00792618"/>
    <w:rsid w:val="00792FB2"/>
    <w:rsid w:val="00793627"/>
    <w:rsid w:val="00793E7B"/>
    <w:rsid w:val="0079522A"/>
    <w:rsid w:val="00795E14"/>
    <w:rsid w:val="00795FCA"/>
    <w:rsid w:val="0079727F"/>
    <w:rsid w:val="0079768F"/>
    <w:rsid w:val="0079795C"/>
    <w:rsid w:val="007A0380"/>
    <w:rsid w:val="007A55E2"/>
    <w:rsid w:val="007A58B7"/>
    <w:rsid w:val="007A5AD1"/>
    <w:rsid w:val="007A5C5B"/>
    <w:rsid w:val="007A63F8"/>
    <w:rsid w:val="007A755C"/>
    <w:rsid w:val="007A77F7"/>
    <w:rsid w:val="007B27D5"/>
    <w:rsid w:val="007B29DB"/>
    <w:rsid w:val="007B36ED"/>
    <w:rsid w:val="007B384A"/>
    <w:rsid w:val="007B3952"/>
    <w:rsid w:val="007B611E"/>
    <w:rsid w:val="007B6599"/>
    <w:rsid w:val="007B7234"/>
    <w:rsid w:val="007B7293"/>
    <w:rsid w:val="007B7F38"/>
    <w:rsid w:val="007C10F1"/>
    <w:rsid w:val="007C1C3D"/>
    <w:rsid w:val="007C37E4"/>
    <w:rsid w:val="007C3D7E"/>
    <w:rsid w:val="007C4143"/>
    <w:rsid w:val="007C4ADD"/>
    <w:rsid w:val="007C52CC"/>
    <w:rsid w:val="007C553F"/>
    <w:rsid w:val="007C73A6"/>
    <w:rsid w:val="007C7CD9"/>
    <w:rsid w:val="007C7D15"/>
    <w:rsid w:val="007D046B"/>
    <w:rsid w:val="007D1599"/>
    <w:rsid w:val="007D2059"/>
    <w:rsid w:val="007D281A"/>
    <w:rsid w:val="007D3CF3"/>
    <w:rsid w:val="007D3D3D"/>
    <w:rsid w:val="007D439B"/>
    <w:rsid w:val="007D4F5E"/>
    <w:rsid w:val="007D68D1"/>
    <w:rsid w:val="007E0873"/>
    <w:rsid w:val="007E0D76"/>
    <w:rsid w:val="007E121C"/>
    <w:rsid w:val="007E1F91"/>
    <w:rsid w:val="007E27CA"/>
    <w:rsid w:val="007E281A"/>
    <w:rsid w:val="007E303A"/>
    <w:rsid w:val="007E3CFA"/>
    <w:rsid w:val="007E3D31"/>
    <w:rsid w:val="007E3DB9"/>
    <w:rsid w:val="007E51BA"/>
    <w:rsid w:val="007E57E1"/>
    <w:rsid w:val="007E7028"/>
    <w:rsid w:val="007E7881"/>
    <w:rsid w:val="007F013B"/>
    <w:rsid w:val="007F0D26"/>
    <w:rsid w:val="007F17B2"/>
    <w:rsid w:val="007F2122"/>
    <w:rsid w:val="007F3206"/>
    <w:rsid w:val="007F3721"/>
    <w:rsid w:val="007F3C06"/>
    <w:rsid w:val="007F46E6"/>
    <w:rsid w:val="007F5EC4"/>
    <w:rsid w:val="007F7730"/>
    <w:rsid w:val="007F7C8F"/>
    <w:rsid w:val="00800D93"/>
    <w:rsid w:val="008015B2"/>
    <w:rsid w:val="00801FE1"/>
    <w:rsid w:val="008030E6"/>
    <w:rsid w:val="008040B4"/>
    <w:rsid w:val="00806173"/>
    <w:rsid w:val="00810650"/>
    <w:rsid w:val="0081094A"/>
    <w:rsid w:val="00812039"/>
    <w:rsid w:val="00812D72"/>
    <w:rsid w:val="008146DC"/>
    <w:rsid w:val="00815D66"/>
    <w:rsid w:val="0081670F"/>
    <w:rsid w:val="00817496"/>
    <w:rsid w:val="008176B2"/>
    <w:rsid w:val="008202D2"/>
    <w:rsid w:val="00820751"/>
    <w:rsid w:val="0082151E"/>
    <w:rsid w:val="00822179"/>
    <w:rsid w:val="00823B5E"/>
    <w:rsid w:val="00824230"/>
    <w:rsid w:val="00824901"/>
    <w:rsid w:val="0082539F"/>
    <w:rsid w:val="00825FA0"/>
    <w:rsid w:val="008270E2"/>
    <w:rsid w:val="008305B8"/>
    <w:rsid w:val="00830756"/>
    <w:rsid w:val="008330A0"/>
    <w:rsid w:val="0083384E"/>
    <w:rsid w:val="008345F2"/>
    <w:rsid w:val="00834BF4"/>
    <w:rsid w:val="00840015"/>
    <w:rsid w:val="0084090B"/>
    <w:rsid w:val="00840CB3"/>
    <w:rsid w:val="00841545"/>
    <w:rsid w:val="008423FD"/>
    <w:rsid w:val="00842EEE"/>
    <w:rsid w:val="00844063"/>
    <w:rsid w:val="008443F2"/>
    <w:rsid w:val="008448E2"/>
    <w:rsid w:val="00844F6C"/>
    <w:rsid w:val="00845B05"/>
    <w:rsid w:val="0084656A"/>
    <w:rsid w:val="00846D53"/>
    <w:rsid w:val="0084719A"/>
    <w:rsid w:val="00847541"/>
    <w:rsid w:val="008476C9"/>
    <w:rsid w:val="00850A84"/>
    <w:rsid w:val="008513EF"/>
    <w:rsid w:val="00852FD5"/>
    <w:rsid w:val="008531E0"/>
    <w:rsid w:val="0085530E"/>
    <w:rsid w:val="0085564E"/>
    <w:rsid w:val="008570B6"/>
    <w:rsid w:val="00857ACB"/>
    <w:rsid w:val="00857B15"/>
    <w:rsid w:val="00861F46"/>
    <w:rsid w:val="0086205F"/>
    <w:rsid w:val="008620A7"/>
    <w:rsid w:val="00863BBC"/>
    <w:rsid w:val="00864603"/>
    <w:rsid w:val="00870A68"/>
    <w:rsid w:val="0087107F"/>
    <w:rsid w:val="00871479"/>
    <w:rsid w:val="00872526"/>
    <w:rsid w:val="008728B9"/>
    <w:rsid w:val="00872EFF"/>
    <w:rsid w:val="00876C9C"/>
    <w:rsid w:val="008779B5"/>
    <w:rsid w:val="00877B7A"/>
    <w:rsid w:val="0088183B"/>
    <w:rsid w:val="00881E1E"/>
    <w:rsid w:val="0088319C"/>
    <w:rsid w:val="00885C3E"/>
    <w:rsid w:val="00890514"/>
    <w:rsid w:val="0089247B"/>
    <w:rsid w:val="00892E90"/>
    <w:rsid w:val="00893D76"/>
    <w:rsid w:val="0089407C"/>
    <w:rsid w:val="00894939"/>
    <w:rsid w:val="00894C71"/>
    <w:rsid w:val="008974A3"/>
    <w:rsid w:val="00897BEB"/>
    <w:rsid w:val="008A09C9"/>
    <w:rsid w:val="008A1305"/>
    <w:rsid w:val="008A159A"/>
    <w:rsid w:val="008A216D"/>
    <w:rsid w:val="008A2202"/>
    <w:rsid w:val="008A265B"/>
    <w:rsid w:val="008A2DC4"/>
    <w:rsid w:val="008A2F02"/>
    <w:rsid w:val="008A6031"/>
    <w:rsid w:val="008A6F94"/>
    <w:rsid w:val="008B0221"/>
    <w:rsid w:val="008B1DAA"/>
    <w:rsid w:val="008B3DEA"/>
    <w:rsid w:val="008B3E65"/>
    <w:rsid w:val="008B46B5"/>
    <w:rsid w:val="008B4A7A"/>
    <w:rsid w:val="008B770E"/>
    <w:rsid w:val="008B7D3A"/>
    <w:rsid w:val="008C1551"/>
    <w:rsid w:val="008C18CF"/>
    <w:rsid w:val="008C29DA"/>
    <w:rsid w:val="008C2E13"/>
    <w:rsid w:val="008C36BD"/>
    <w:rsid w:val="008C54EC"/>
    <w:rsid w:val="008C5E5D"/>
    <w:rsid w:val="008C606C"/>
    <w:rsid w:val="008C6674"/>
    <w:rsid w:val="008C6DC0"/>
    <w:rsid w:val="008C70CF"/>
    <w:rsid w:val="008C7977"/>
    <w:rsid w:val="008C7DA1"/>
    <w:rsid w:val="008D1035"/>
    <w:rsid w:val="008D1293"/>
    <w:rsid w:val="008D1647"/>
    <w:rsid w:val="008D1DEA"/>
    <w:rsid w:val="008D52B4"/>
    <w:rsid w:val="008D62FD"/>
    <w:rsid w:val="008E1199"/>
    <w:rsid w:val="008E2462"/>
    <w:rsid w:val="008E2B45"/>
    <w:rsid w:val="008E2C7D"/>
    <w:rsid w:val="008E3199"/>
    <w:rsid w:val="008E4E70"/>
    <w:rsid w:val="008E67F7"/>
    <w:rsid w:val="008E71A4"/>
    <w:rsid w:val="008F095A"/>
    <w:rsid w:val="008F1067"/>
    <w:rsid w:val="008F144C"/>
    <w:rsid w:val="008F2423"/>
    <w:rsid w:val="008F27D6"/>
    <w:rsid w:val="008F358C"/>
    <w:rsid w:val="008F49D9"/>
    <w:rsid w:val="008F57B5"/>
    <w:rsid w:val="008F592F"/>
    <w:rsid w:val="008F5AFC"/>
    <w:rsid w:val="008F6151"/>
    <w:rsid w:val="008F7B7F"/>
    <w:rsid w:val="00905C50"/>
    <w:rsid w:val="00906B2E"/>
    <w:rsid w:val="009108DC"/>
    <w:rsid w:val="009120B1"/>
    <w:rsid w:val="0091402E"/>
    <w:rsid w:val="00914C1A"/>
    <w:rsid w:val="00914EAD"/>
    <w:rsid w:val="00914ECC"/>
    <w:rsid w:val="00915F6B"/>
    <w:rsid w:val="009173DC"/>
    <w:rsid w:val="0091770E"/>
    <w:rsid w:val="0092042D"/>
    <w:rsid w:val="009212BE"/>
    <w:rsid w:val="00924A1E"/>
    <w:rsid w:val="00924B88"/>
    <w:rsid w:val="00926BEF"/>
    <w:rsid w:val="00926CA1"/>
    <w:rsid w:val="0092729C"/>
    <w:rsid w:val="0092741A"/>
    <w:rsid w:val="00927D0C"/>
    <w:rsid w:val="00927D8E"/>
    <w:rsid w:val="009335D4"/>
    <w:rsid w:val="00933668"/>
    <w:rsid w:val="00933E37"/>
    <w:rsid w:val="0093408D"/>
    <w:rsid w:val="00934408"/>
    <w:rsid w:val="009349CB"/>
    <w:rsid w:val="009351FA"/>
    <w:rsid w:val="00935588"/>
    <w:rsid w:val="0093559D"/>
    <w:rsid w:val="00936038"/>
    <w:rsid w:val="00936A4D"/>
    <w:rsid w:val="009378B5"/>
    <w:rsid w:val="00937B55"/>
    <w:rsid w:val="00940695"/>
    <w:rsid w:val="009413D9"/>
    <w:rsid w:val="0094208A"/>
    <w:rsid w:val="00942A1A"/>
    <w:rsid w:val="009430E0"/>
    <w:rsid w:val="00943293"/>
    <w:rsid w:val="00947E87"/>
    <w:rsid w:val="00950222"/>
    <w:rsid w:val="009510D7"/>
    <w:rsid w:val="00951EE8"/>
    <w:rsid w:val="00953CB9"/>
    <w:rsid w:val="009546A4"/>
    <w:rsid w:val="00956B96"/>
    <w:rsid w:val="00960144"/>
    <w:rsid w:val="0096039D"/>
    <w:rsid w:val="009610E9"/>
    <w:rsid w:val="00961605"/>
    <w:rsid w:val="00964720"/>
    <w:rsid w:val="009666A0"/>
    <w:rsid w:val="0096685B"/>
    <w:rsid w:val="00966BCB"/>
    <w:rsid w:val="00967253"/>
    <w:rsid w:val="00967B0E"/>
    <w:rsid w:val="00970245"/>
    <w:rsid w:val="00970CD5"/>
    <w:rsid w:val="00973E78"/>
    <w:rsid w:val="00974B5D"/>
    <w:rsid w:val="0097571A"/>
    <w:rsid w:val="009757B6"/>
    <w:rsid w:val="00976ED6"/>
    <w:rsid w:val="00977191"/>
    <w:rsid w:val="00980816"/>
    <w:rsid w:val="00982954"/>
    <w:rsid w:val="00984931"/>
    <w:rsid w:val="00984A2F"/>
    <w:rsid w:val="00985076"/>
    <w:rsid w:val="00986CD1"/>
    <w:rsid w:val="00986F2E"/>
    <w:rsid w:val="00987415"/>
    <w:rsid w:val="0098775B"/>
    <w:rsid w:val="00987A0B"/>
    <w:rsid w:val="00987C99"/>
    <w:rsid w:val="00990950"/>
    <w:rsid w:val="0099155A"/>
    <w:rsid w:val="0099163D"/>
    <w:rsid w:val="00993F34"/>
    <w:rsid w:val="009942B3"/>
    <w:rsid w:val="00995625"/>
    <w:rsid w:val="00995F0F"/>
    <w:rsid w:val="009971FA"/>
    <w:rsid w:val="009A0EA5"/>
    <w:rsid w:val="009A1278"/>
    <w:rsid w:val="009A1A89"/>
    <w:rsid w:val="009A2679"/>
    <w:rsid w:val="009A2CD6"/>
    <w:rsid w:val="009A3241"/>
    <w:rsid w:val="009A470C"/>
    <w:rsid w:val="009A52AB"/>
    <w:rsid w:val="009A571F"/>
    <w:rsid w:val="009A685A"/>
    <w:rsid w:val="009B052E"/>
    <w:rsid w:val="009B1EA1"/>
    <w:rsid w:val="009B2755"/>
    <w:rsid w:val="009B2866"/>
    <w:rsid w:val="009B6D03"/>
    <w:rsid w:val="009B7149"/>
    <w:rsid w:val="009B7DCD"/>
    <w:rsid w:val="009C0688"/>
    <w:rsid w:val="009C16EB"/>
    <w:rsid w:val="009C28F6"/>
    <w:rsid w:val="009C2C77"/>
    <w:rsid w:val="009C3AE9"/>
    <w:rsid w:val="009C4AF0"/>
    <w:rsid w:val="009C4C23"/>
    <w:rsid w:val="009C4F12"/>
    <w:rsid w:val="009C5563"/>
    <w:rsid w:val="009C5BE1"/>
    <w:rsid w:val="009C5E9B"/>
    <w:rsid w:val="009D10B0"/>
    <w:rsid w:val="009D22EB"/>
    <w:rsid w:val="009D2747"/>
    <w:rsid w:val="009D340E"/>
    <w:rsid w:val="009D4C58"/>
    <w:rsid w:val="009D4ED2"/>
    <w:rsid w:val="009D52CA"/>
    <w:rsid w:val="009D5B3B"/>
    <w:rsid w:val="009D6F40"/>
    <w:rsid w:val="009D7235"/>
    <w:rsid w:val="009D7A21"/>
    <w:rsid w:val="009D7AE9"/>
    <w:rsid w:val="009E2629"/>
    <w:rsid w:val="009E2CC9"/>
    <w:rsid w:val="009E3350"/>
    <w:rsid w:val="009E37D1"/>
    <w:rsid w:val="009E5AFE"/>
    <w:rsid w:val="009E5BF8"/>
    <w:rsid w:val="009E68A6"/>
    <w:rsid w:val="009F0DDB"/>
    <w:rsid w:val="009F10D5"/>
    <w:rsid w:val="009F1903"/>
    <w:rsid w:val="009F228B"/>
    <w:rsid w:val="009F2C58"/>
    <w:rsid w:val="009F3807"/>
    <w:rsid w:val="009F687F"/>
    <w:rsid w:val="00A012D1"/>
    <w:rsid w:val="00A023C3"/>
    <w:rsid w:val="00A02C91"/>
    <w:rsid w:val="00A0483E"/>
    <w:rsid w:val="00A05412"/>
    <w:rsid w:val="00A05614"/>
    <w:rsid w:val="00A056C0"/>
    <w:rsid w:val="00A05DA4"/>
    <w:rsid w:val="00A05E6A"/>
    <w:rsid w:val="00A05F6D"/>
    <w:rsid w:val="00A06429"/>
    <w:rsid w:val="00A064D5"/>
    <w:rsid w:val="00A07F82"/>
    <w:rsid w:val="00A07FF9"/>
    <w:rsid w:val="00A104D2"/>
    <w:rsid w:val="00A12C72"/>
    <w:rsid w:val="00A13080"/>
    <w:rsid w:val="00A13545"/>
    <w:rsid w:val="00A15AB1"/>
    <w:rsid w:val="00A15D0B"/>
    <w:rsid w:val="00A205AC"/>
    <w:rsid w:val="00A216CF"/>
    <w:rsid w:val="00A21713"/>
    <w:rsid w:val="00A21866"/>
    <w:rsid w:val="00A21FDF"/>
    <w:rsid w:val="00A22293"/>
    <w:rsid w:val="00A22903"/>
    <w:rsid w:val="00A22B6D"/>
    <w:rsid w:val="00A232DB"/>
    <w:rsid w:val="00A24ECA"/>
    <w:rsid w:val="00A25088"/>
    <w:rsid w:val="00A26904"/>
    <w:rsid w:val="00A3010F"/>
    <w:rsid w:val="00A30974"/>
    <w:rsid w:val="00A30B5D"/>
    <w:rsid w:val="00A336E5"/>
    <w:rsid w:val="00A346E6"/>
    <w:rsid w:val="00A34A06"/>
    <w:rsid w:val="00A34C8B"/>
    <w:rsid w:val="00A35C01"/>
    <w:rsid w:val="00A35D9E"/>
    <w:rsid w:val="00A35F0E"/>
    <w:rsid w:val="00A35F5C"/>
    <w:rsid w:val="00A36385"/>
    <w:rsid w:val="00A368AA"/>
    <w:rsid w:val="00A37A72"/>
    <w:rsid w:val="00A41B0F"/>
    <w:rsid w:val="00A41C84"/>
    <w:rsid w:val="00A41DB5"/>
    <w:rsid w:val="00A42002"/>
    <w:rsid w:val="00A429EB"/>
    <w:rsid w:val="00A43126"/>
    <w:rsid w:val="00A4393F"/>
    <w:rsid w:val="00A44531"/>
    <w:rsid w:val="00A44EC6"/>
    <w:rsid w:val="00A46D13"/>
    <w:rsid w:val="00A476CA"/>
    <w:rsid w:val="00A50A7F"/>
    <w:rsid w:val="00A50CD6"/>
    <w:rsid w:val="00A5103D"/>
    <w:rsid w:val="00A53E4A"/>
    <w:rsid w:val="00A54E6D"/>
    <w:rsid w:val="00A55207"/>
    <w:rsid w:val="00A55350"/>
    <w:rsid w:val="00A56217"/>
    <w:rsid w:val="00A5774B"/>
    <w:rsid w:val="00A57758"/>
    <w:rsid w:val="00A60515"/>
    <w:rsid w:val="00A6173A"/>
    <w:rsid w:val="00A6561D"/>
    <w:rsid w:val="00A65D14"/>
    <w:rsid w:val="00A65E3F"/>
    <w:rsid w:val="00A70551"/>
    <w:rsid w:val="00A705E4"/>
    <w:rsid w:val="00A711EE"/>
    <w:rsid w:val="00A717B1"/>
    <w:rsid w:val="00A71993"/>
    <w:rsid w:val="00A72F7E"/>
    <w:rsid w:val="00A73C1D"/>
    <w:rsid w:val="00A73EAB"/>
    <w:rsid w:val="00A74316"/>
    <w:rsid w:val="00A74680"/>
    <w:rsid w:val="00A77C2B"/>
    <w:rsid w:val="00A81A4A"/>
    <w:rsid w:val="00A827F9"/>
    <w:rsid w:val="00A8773E"/>
    <w:rsid w:val="00A916AC"/>
    <w:rsid w:val="00A926AF"/>
    <w:rsid w:val="00A93FF9"/>
    <w:rsid w:val="00A97E11"/>
    <w:rsid w:val="00AA024A"/>
    <w:rsid w:val="00AA04BD"/>
    <w:rsid w:val="00AA3546"/>
    <w:rsid w:val="00AA42D4"/>
    <w:rsid w:val="00AA455C"/>
    <w:rsid w:val="00AA4EC9"/>
    <w:rsid w:val="00AA5BFE"/>
    <w:rsid w:val="00AA6025"/>
    <w:rsid w:val="00AA61F2"/>
    <w:rsid w:val="00AA6375"/>
    <w:rsid w:val="00AA6C73"/>
    <w:rsid w:val="00AA6DF0"/>
    <w:rsid w:val="00AB1FDF"/>
    <w:rsid w:val="00AB2786"/>
    <w:rsid w:val="00AB4663"/>
    <w:rsid w:val="00AB51C4"/>
    <w:rsid w:val="00AB5608"/>
    <w:rsid w:val="00AB6D08"/>
    <w:rsid w:val="00AB7249"/>
    <w:rsid w:val="00AB73FB"/>
    <w:rsid w:val="00AB7C94"/>
    <w:rsid w:val="00AC0365"/>
    <w:rsid w:val="00AC3791"/>
    <w:rsid w:val="00AC3E7B"/>
    <w:rsid w:val="00AC50C8"/>
    <w:rsid w:val="00AC584B"/>
    <w:rsid w:val="00AC5EB3"/>
    <w:rsid w:val="00AD099A"/>
    <w:rsid w:val="00AD16E9"/>
    <w:rsid w:val="00AD273F"/>
    <w:rsid w:val="00AD38C3"/>
    <w:rsid w:val="00AD5960"/>
    <w:rsid w:val="00AD71D1"/>
    <w:rsid w:val="00AD77D0"/>
    <w:rsid w:val="00AD77EC"/>
    <w:rsid w:val="00AD7BD1"/>
    <w:rsid w:val="00AE030F"/>
    <w:rsid w:val="00AE1300"/>
    <w:rsid w:val="00AE15A4"/>
    <w:rsid w:val="00AE2DFC"/>
    <w:rsid w:val="00AE5345"/>
    <w:rsid w:val="00AE5DBC"/>
    <w:rsid w:val="00AE6E87"/>
    <w:rsid w:val="00AF087B"/>
    <w:rsid w:val="00AF0BED"/>
    <w:rsid w:val="00AF2CE8"/>
    <w:rsid w:val="00AF3116"/>
    <w:rsid w:val="00AF37AE"/>
    <w:rsid w:val="00AF3BBA"/>
    <w:rsid w:val="00AF4DCB"/>
    <w:rsid w:val="00AF6422"/>
    <w:rsid w:val="00AF6A08"/>
    <w:rsid w:val="00B02A65"/>
    <w:rsid w:val="00B03FD0"/>
    <w:rsid w:val="00B0484E"/>
    <w:rsid w:val="00B06BB4"/>
    <w:rsid w:val="00B06D15"/>
    <w:rsid w:val="00B10224"/>
    <w:rsid w:val="00B1286D"/>
    <w:rsid w:val="00B132FD"/>
    <w:rsid w:val="00B13EDD"/>
    <w:rsid w:val="00B14310"/>
    <w:rsid w:val="00B1436F"/>
    <w:rsid w:val="00B16D35"/>
    <w:rsid w:val="00B172BF"/>
    <w:rsid w:val="00B200D7"/>
    <w:rsid w:val="00B20A97"/>
    <w:rsid w:val="00B21989"/>
    <w:rsid w:val="00B22232"/>
    <w:rsid w:val="00B2315D"/>
    <w:rsid w:val="00B23EAE"/>
    <w:rsid w:val="00B23F1E"/>
    <w:rsid w:val="00B24DF7"/>
    <w:rsid w:val="00B26701"/>
    <w:rsid w:val="00B26908"/>
    <w:rsid w:val="00B272CB"/>
    <w:rsid w:val="00B27F3D"/>
    <w:rsid w:val="00B31A59"/>
    <w:rsid w:val="00B33AFA"/>
    <w:rsid w:val="00B3492C"/>
    <w:rsid w:val="00B35529"/>
    <w:rsid w:val="00B358B4"/>
    <w:rsid w:val="00B37577"/>
    <w:rsid w:val="00B4036B"/>
    <w:rsid w:val="00B413B2"/>
    <w:rsid w:val="00B42DE5"/>
    <w:rsid w:val="00B44765"/>
    <w:rsid w:val="00B45CCB"/>
    <w:rsid w:val="00B45EE8"/>
    <w:rsid w:val="00B46450"/>
    <w:rsid w:val="00B467CE"/>
    <w:rsid w:val="00B47507"/>
    <w:rsid w:val="00B47895"/>
    <w:rsid w:val="00B5008A"/>
    <w:rsid w:val="00B52AB1"/>
    <w:rsid w:val="00B53757"/>
    <w:rsid w:val="00B54EF0"/>
    <w:rsid w:val="00B55169"/>
    <w:rsid w:val="00B5736E"/>
    <w:rsid w:val="00B610A4"/>
    <w:rsid w:val="00B61119"/>
    <w:rsid w:val="00B61591"/>
    <w:rsid w:val="00B61EFC"/>
    <w:rsid w:val="00B629CE"/>
    <w:rsid w:val="00B632F1"/>
    <w:rsid w:val="00B63646"/>
    <w:rsid w:val="00B67F5D"/>
    <w:rsid w:val="00B70543"/>
    <w:rsid w:val="00B708AA"/>
    <w:rsid w:val="00B70B1A"/>
    <w:rsid w:val="00B7315C"/>
    <w:rsid w:val="00B732CB"/>
    <w:rsid w:val="00B736C4"/>
    <w:rsid w:val="00B74213"/>
    <w:rsid w:val="00B7449D"/>
    <w:rsid w:val="00B75D02"/>
    <w:rsid w:val="00B81FBF"/>
    <w:rsid w:val="00B82BF8"/>
    <w:rsid w:val="00B84253"/>
    <w:rsid w:val="00B84993"/>
    <w:rsid w:val="00B84AB2"/>
    <w:rsid w:val="00B84DF2"/>
    <w:rsid w:val="00B852FB"/>
    <w:rsid w:val="00B867D6"/>
    <w:rsid w:val="00B86C73"/>
    <w:rsid w:val="00B87F37"/>
    <w:rsid w:val="00B911B6"/>
    <w:rsid w:val="00B9208A"/>
    <w:rsid w:val="00B948B9"/>
    <w:rsid w:val="00B957B5"/>
    <w:rsid w:val="00B95816"/>
    <w:rsid w:val="00B962D6"/>
    <w:rsid w:val="00B968AC"/>
    <w:rsid w:val="00B97175"/>
    <w:rsid w:val="00B97C07"/>
    <w:rsid w:val="00B97CEA"/>
    <w:rsid w:val="00BA023E"/>
    <w:rsid w:val="00BA0FAF"/>
    <w:rsid w:val="00BA1849"/>
    <w:rsid w:val="00BA1CCE"/>
    <w:rsid w:val="00BA1E80"/>
    <w:rsid w:val="00BA3927"/>
    <w:rsid w:val="00BA4BBD"/>
    <w:rsid w:val="00BA521C"/>
    <w:rsid w:val="00BA5227"/>
    <w:rsid w:val="00BA5AA5"/>
    <w:rsid w:val="00BA5D18"/>
    <w:rsid w:val="00BA5E1B"/>
    <w:rsid w:val="00BA5ED8"/>
    <w:rsid w:val="00BA6700"/>
    <w:rsid w:val="00BB130B"/>
    <w:rsid w:val="00BB39F4"/>
    <w:rsid w:val="00BB4129"/>
    <w:rsid w:val="00BB6536"/>
    <w:rsid w:val="00BB68C4"/>
    <w:rsid w:val="00BC038F"/>
    <w:rsid w:val="00BC1522"/>
    <w:rsid w:val="00BC1C96"/>
    <w:rsid w:val="00BC2020"/>
    <w:rsid w:val="00BC23DC"/>
    <w:rsid w:val="00BC262A"/>
    <w:rsid w:val="00BC2ACB"/>
    <w:rsid w:val="00BC2AEB"/>
    <w:rsid w:val="00BC45AF"/>
    <w:rsid w:val="00BC492C"/>
    <w:rsid w:val="00BC526C"/>
    <w:rsid w:val="00BC5A6A"/>
    <w:rsid w:val="00BC705F"/>
    <w:rsid w:val="00BD12CD"/>
    <w:rsid w:val="00BD16B8"/>
    <w:rsid w:val="00BD182B"/>
    <w:rsid w:val="00BD339E"/>
    <w:rsid w:val="00BD454F"/>
    <w:rsid w:val="00BD4926"/>
    <w:rsid w:val="00BD52DF"/>
    <w:rsid w:val="00BD6409"/>
    <w:rsid w:val="00BD760E"/>
    <w:rsid w:val="00BE18A2"/>
    <w:rsid w:val="00BE220F"/>
    <w:rsid w:val="00BE2366"/>
    <w:rsid w:val="00BE402B"/>
    <w:rsid w:val="00BE4493"/>
    <w:rsid w:val="00BE4667"/>
    <w:rsid w:val="00BE51BE"/>
    <w:rsid w:val="00BE7712"/>
    <w:rsid w:val="00BF123A"/>
    <w:rsid w:val="00BF1A24"/>
    <w:rsid w:val="00BF3977"/>
    <w:rsid w:val="00BF49CC"/>
    <w:rsid w:val="00BF674D"/>
    <w:rsid w:val="00BF7211"/>
    <w:rsid w:val="00C01A49"/>
    <w:rsid w:val="00C02555"/>
    <w:rsid w:val="00C02622"/>
    <w:rsid w:val="00C04ADD"/>
    <w:rsid w:val="00C069E7"/>
    <w:rsid w:val="00C06F7D"/>
    <w:rsid w:val="00C06FE4"/>
    <w:rsid w:val="00C0712D"/>
    <w:rsid w:val="00C0761C"/>
    <w:rsid w:val="00C07692"/>
    <w:rsid w:val="00C07E99"/>
    <w:rsid w:val="00C10FBE"/>
    <w:rsid w:val="00C122B4"/>
    <w:rsid w:val="00C12624"/>
    <w:rsid w:val="00C141E0"/>
    <w:rsid w:val="00C15AC3"/>
    <w:rsid w:val="00C170EA"/>
    <w:rsid w:val="00C204AB"/>
    <w:rsid w:val="00C20531"/>
    <w:rsid w:val="00C20681"/>
    <w:rsid w:val="00C21003"/>
    <w:rsid w:val="00C2128F"/>
    <w:rsid w:val="00C216E4"/>
    <w:rsid w:val="00C223A6"/>
    <w:rsid w:val="00C22E6E"/>
    <w:rsid w:val="00C23BCA"/>
    <w:rsid w:val="00C24C23"/>
    <w:rsid w:val="00C2560A"/>
    <w:rsid w:val="00C26437"/>
    <w:rsid w:val="00C2734A"/>
    <w:rsid w:val="00C278AA"/>
    <w:rsid w:val="00C318CB"/>
    <w:rsid w:val="00C31D4F"/>
    <w:rsid w:val="00C3293B"/>
    <w:rsid w:val="00C329BD"/>
    <w:rsid w:val="00C34BF2"/>
    <w:rsid w:val="00C34DA1"/>
    <w:rsid w:val="00C379B5"/>
    <w:rsid w:val="00C37C0A"/>
    <w:rsid w:val="00C402DC"/>
    <w:rsid w:val="00C41627"/>
    <w:rsid w:val="00C4303D"/>
    <w:rsid w:val="00C4320C"/>
    <w:rsid w:val="00C4380E"/>
    <w:rsid w:val="00C43C7A"/>
    <w:rsid w:val="00C46477"/>
    <w:rsid w:val="00C4679C"/>
    <w:rsid w:val="00C51B28"/>
    <w:rsid w:val="00C52E8C"/>
    <w:rsid w:val="00C52F70"/>
    <w:rsid w:val="00C53782"/>
    <w:rsid w:val="00C54CD5"/>
    <w:rsid w:val="00C54D73"/>
    <w:rsid w:val="00C55C36"/>
    <w:rsid w:val="00C56BF4"/>
    <w:rsid w:val="00C60911"/>
    <w:rsid w:val="00C61DBD"/>
    <w:rsid w:val="00C6225B"/>
    <w:rsid w:val="00C62595"/>
    <w:rsid w:val="00C64597"/>
    <w:rsid w:val="00C64D5B"/>
    <w:rsid w:val="00C653DC"/>
    <w:rsid w:val="00C6549E"/>
    <w:rsid w:val="00C65778"/>
    <w:rsid w:val="00C66BAF"/>
    <w:rsid w:val="00C67038"/>
    <w:rsid w:val="00C70C5C"/>
    <w:rsid w:val="00C711EB"/>
    <w:rsid w:val="00C72B8D"/>
    <w:rsid w:val="00C751C9"/>
    <w:rsid w:val="00C75772"/>
    <w:rsid w:val="00C75A3F"/>
    <w:rsid w:val="00C75FC1"/>
    <w:rsid w:val="00C77873"/>
    <w:rsid w:val="00C77F1D"/>
    <w:rsid w:val="00C80483"/>
    <w:rsid w:val="00C80629"/>
    <w:rsid w:val="00C80D66"/>
    <w:rsid w:val="00C80EF8"/>
    <w:rsid w:val="00C822C2"/>
    <w:rsid w:val="00C840D9"/>
    <w:rsid w:val="00C85141"/>
    <w:rsid w:val="00C85796"/>
    <w:rsid w:val="00C87981"/>
    <w:rsid w:val="00C907D8"/>
    <w:rsid w:val="00C9110A"/>
    <w:rsid w:val="00C933F4"/>
    <w:rsid w:val="00C93540"/>
    <w:rsid w:val="00C94F43"/>
    <w:rsid w:val="00C9583F"/>
    <w:rsid w:val="00C95A78"/>
    <w:rsid w:val="00C95AF7"/>
    <w:rsid w:val="00C96091"/>
    <w:rsid w:val="00C96825"/>
    <w:rsid w:val="00C97811"/>
    <w:rsid w:val="00CA091D"/>
    <w:rsid w:val="00CA0AEA"/>
    <w:rsid w:val="00CA1F28"/>
    <w:rsid w:val="00CA2EAC"/>
    <w:rsid w:val="00CA2FFA"/>
    <w:rsid w:val="00CA414E"/>
    <w:rsid w:val="00CA49AC"/>
    <w:rsid w:val="00CA4C48"/>
    <w:rsid w:val="00CA5CC0"/>
    <w:rsid w:val="00CA6CB3"/>
    <w:rsid w:val="00CA6F5E"/>
    <w:rsid w:val="00CA7B37"/>
    <w:rsid w:val="00CB0756"/>
    <w:rsid w:val="00CB07DE"/>
    <w:rsid w:val="00CB0B55"/>
    <w:rsid w:val="00CB1182"/>
    <w:rsid w:val="00CB189C"/>
    <w:rsid w:val="00CB3D94"/>
    <w:rsid w:val="00CB47EC"/>
    <w:rsid w:val="00CB4CAD"/>
    <w:rsid w:val="00CB714B"/>
    <w:rsid w:val="00CC006D"/>
    <w:rsid w:val="00CC0B62"/>
    <w:rsid w:val="00CC3CDE"/>
    <w:rsid w:val="00CC3DAF"/>
    <w:rsid w:val="00CC3F53"/>
    <w:rsid w:val="00CC471A"/>
    <w:rsid w:val="00CC5B0D"/>
    <w:rsid w:val="00CC67B6"/>
    <w:rsid w:val="00CC6800"/>
    <w:rsid w:val="00CC7509"/>
    <w:rsid w:val="00CC77E3"/>
    <w:rsid w:val="00CD04A3"/>
    <w:rsid w:val="00CD6386"/>
    <w:rsid w:val="00CD67D8"/>
    <w:rsid w:val="00CD716A"/>
    <w:rsid w:val="00CD71B0"/>
    <w:rsid w:val="00CD73DE"/>
    <w:rsid w:val="00CE08D8"/>
    <w:rsid w:val="00CE0EAB"/>
    <w:rsid w:val="00CE1957"/>
    <w:rsid w:val="00CE2AAD"/>
    <w:rsid w:val="00CE4F4C"/>
    <w:rsid w:val="00CE59A2"/>
    <w:rsid w:val="00CE6074"/>
    <w:rsid w:val="00CE68C8"/>
    <w:rsid w:val="00CE7803"/>
    <w:rsid w:val="00CF0005"/>
    <w:rsid w:val="00CF0808"/>
    <w:rsid w:val="00CF0E98"/>
    <w:rsid w:val="00CF0F90"/>
    <w:rsid w:val="00CF13AB"/>
    <w:rsid w:val="00CF3E8A"/>
    <w:rsid w:val="00CF3FBE"/>
    <w:rsid w:val="00CF57EA"/>
    <w:rsid w:val="00CF5859"/>
    <w:rsid w:val="00CF5E04"/>
    <w:rsid w:val="00CF6DD4"/>
    <w:rsid w:val="00CF6F44"/>
    <w:rsid w:val="00CF7303"/>
    <w:rsid w:val="00CF7E6F"/>
    <w:rsid w:val="00D01B7B"/>
    <w:rsid w:val="00D01C23"/>
    <w:rsid w:val="00D032CF"/>
    <w:rsid w:val="00D03ACD"/>
    <w:rsid w:val="00D03D80"/>
    <w:rsid w:val="00D04D96"/>
    <w:rsid w:val="00D0515E"/>
    <w:rsid w:val="00D05F4B"/>
    <w:rsid w:val="00D06E12"/>
    <w:rsid w:val="00D10EA1"/>
    <w:rsid w:val="00D1146E"/>
    <w:rsid w:val="00D12DE9"/>
    <w:rsid w:val="00D13B91"/>
    <w:rsid w:val="00D14367"/>
    <w:rsid w:val="00D15690"/>
    <w:rsid w:val="00D161A4"/>
    <w:rsid w:val="00D16B0D"/>
    <w:rsid w:val="00D17EAA"/>
    <w:rsid w:val="00D20526"/>
    <w:rsid w:val="00D207BF"/>
    <w:rsid w:val="00D20974"/>
    <w:rsid w:val="00D21BE6"/>
    <w:rsid w:val="00D22003"/>
    <w:rsid w:val="00D23DC2"/>
    <w:rsid w:val="00D23F0E"/>
    <w:rsid w:val="00D23F97"/>
    <w:rsid w:val="00D24112"/>
    <w:rsid w:val="00D24254"/>
    <w:rsid w:val="00D24B71"/>
    <w:rsid w:val="00D256B6"/>
    <w:rsid w:val="00D256DE"/>
    <w:rsid w:val="00D25BFF"/>
    <w:rsid w:val="00D268CF"/>
    <w:rsid w:val="00D273D2"/>
    <w:rsid w:val="00D27472"/>
    <w:rsid w:val="00D27524"/>
    <w:rsid w:val="00D27FB5"/>
    <w:rsid w:val="00D30607"/>
    <w:rsid w:val="00D3085F"/>
    <w:rsid w:val="00D310CE"/>
    <w:rsid w:val="00D32977"/>
    <w:rsid w:val="00D33482"/>
    <w:rsid w:val="00D33B2E"/>
    <w:rsid w:val="00D355D7"/>
    <w:rsid w:val="00D36C6C"/>
    <w:rsid w:val="00D37FBE"/>
    <w:rsid w:val="00D4079B"/>
    <w:rsid w:val="00D40DE4"/>
    <w:rsid w:val="00D412B3"/>
    <w:rsid w:val="00D420BC"/>
    <w:rsid w:val="00D4251C"/>
    <w:rsid w:val="00D42A7E"/>
    <w:rsid w:val="00D436EF"/>
    <w:rsid w:val="00D439C0"/>
    <w:rsid w:val="00D43DC6"/>
    <w:rsid w:val="00D43EC3"/>
    <w:rsid w:val="00D4426C"/>
    <w:rsid w:val="00D46447"/>
    <w:rsid w:val="00D4719E"/>
    <w:rsid w:val="00D4785F"/>
    <w:rsid w:val="00D47CC6"/>
    <w:rsid w:val="00D50A8F"/>
    <w:rsid w:val="00D517A2"/>
    <w:rsid w:val="00D519D0"/>
    <w:rsid w:val="00D5237D"/>
    <w:rsid w:val="00D52AA2"/>
    <w:rsid w:val="00D52C34"/>
    <w:rsid w:val="00D52C51"/>
    <w:rsid w:val="00D531A7"/>
    <w:rsid w:val="00D54FAE"/>
    <w:rsid w:val="00D561C1"/>
    <w:rsid w:val="00D60199"/>
    <w:rsid w:val="00D60501"/>
    <w:rsid w:val="00D61BA7"/>
    <w:rsid w:val="00D61FD5"/>
    <w:rsid w:val="00D635FA"/>
    <w:rsid w:val="00D6471C"/>
    <w:rsid w:val="00D64D64"/>
    <w:rsid w:val="00D65212"/>
    <w:rsid w:val="00D657C7"/>
    <w:rsid w:val="00D65E00"/>
    <w:rsid w:val="00D6686D"/>
    <w:rsid w:val="00D668C1"/>
    <w:rsid w:val="00D66D18"/>
    <w:rsid w:val="00D67502"/>
    <w:rsid w:val="00D701A0"/>
    <w:rsid w:val="00D70298"/>
    <w:rsid w:val="00D70A95"/>
    <w:rsid w:val="00D70B0F"/>
    <w:rsid w:val="00D71CA5"/>
    <w:rsid w:val="00D7295B"/>
    <w:rsid w:val="00D732C9"/>
    <w:rsid w:val="00D744B0"/>
    <w:rsid w:val="00D74825"/>
    <w:rsid w:val="00D7560D"/>
    <w:rsid w:val="00D804CB"/>
    <w:rsid w:val="00D8063A"/>
    <w:rsid w:val="00D80B94"/>
    <w:rsid w:val="00D82601"/>
    <w:rsid w:val="00D83A8E"/>
    <w:rsid w:val="00D8503E"/>
    <w:rsid w:val="00D8533D"/>
    <w:rsid w:val="00D8614F"/>
    <w:rsid w:val="00D90399"/>
    <w:rsid w:val="00D90538"/>
    <w:rsid w:val="00D917BC"/>
    <w:rsid w:val="00D929F9"/>
    <w:rsid w:val="00D9465F"/>
    <w:rsid w:val="00D96234"/>
    <w:rsid w:val="00D96BD3"/>
    <w:rsid w:val="00D96C9B"/>
    <w:rsid w:val="00D96D29"/>
    <w:rsid w:val="00D97A12"/>
    <w:rsid w:val="00D97F25"/>
    <w:rsid w:val="00DA59C6"/>
    <w:rsid w:val="00DA5A68"/>
    <w:rsid w:val="00DA5B77"/>
    <w:rsid w:val="00DA5F90"/>
    <w:rsid w:val="00DA62E0"/>
    <w:rsid w:val="00DA7F78"/>
    <w:rsid w:val="00DB0452"/>
    <w:rsid w:val="00DB08AD"/>
    <w:rsid w:val="00DB3303"/>
    <w:rsid w:val="00DB39C7"/>
    <w:rsid w:val="00DB3B5B"/>
    <w:rsid w:val="00DB42E1"/>
    <w:rsid w:val="00DB67D8"/>
    <w:rsid w:val="00DB6D82"/>
    <w:rsid w:val="00DC09BE"/>
    <w:rsid w:val="00DC1255"/>
    <w:rsid w:val="00DC2E3E"/>
    <w:rsid w:val="00DC2FC1"/>
    <w:rsid w:val="00DC3811"/>
    <w:rsid w:val="00DC39BF"/>
    <w:rsid w:val="00DC3BCF"/>
    <w:rsid w:val="00DC6EF6"/>
    <w:rsid w:val="00DC72FB"/>
    <w:rsid w:val="00DC79BB"/>
    <w:rsid w:val="00DD0236"/>
    <w:rsid w:val="00DD035D"/>
    <w:rsid w:val="00DD0C36"/>
    <w:rsid w:val="00DD0E66"/>
    <w:rsid w:val="00DD296F"/>
    <w:rsid w:val="00DD3B88"/>
    <w:rsid w:val="00DD41E5"/>
    <w:rsid w:val="00DD4379"/>
    <w:rsid w:val="00DD4B8A"/>
    <w:rsid w:val="00DD5671"/>
    <w:rsid w:val="00DD6DC1"/>
    <w:rsid w:val="00DD7D11"/>
    <w:rsid w:val="00DE0553"/>
    <w:rsid w:val="00DE0881"/>
    <w:rsid w:val="00DE186B"/>
    <w:rsid w:val="00DE1989"/>
    <w:rsid w:val="00DE1CFA"/>
    <w:rsid w:val="00DE1ED5"/>
    <w:rsid w:val="00DE2C01"/>
    <w:rsid w:val="00DE42EA"/>
    <w:rsid w:val="00DE67D9"/>
    <w:rsid w:val="00DE74F7"/>
    <w:rsid w:val="00DF0938"/>
    <w:rsid w:val="00DF1CDC"/>
    <w:rsid w:val="00DF1ECB"/>
    <w:rsid w:val="00DF2BBD"/>
    <w:rsid w:val="00DF2E78"/>
    <w:rsid w:val="00DF316C"/>
    <w:rsid w:val="00DF55AB"/>
    <w:rsid w:val="00DF6D9A"/>
    <w:rsid w:val="00E00123"/>
    <w:rsid w:val="00E00CEC"/>
    <w:rsid w:val="00E019FD"/>
    <w:rsid w:val="00E023B4"/>
    <w:rsid w:val="00E024D1"/>
    <w:rsid w:val="00E02BD0"/>
    <w:rsid w:val="00E02CB2"/>
    <w:rsid w:val="00E0434B"/>
    <w:rsid w:val="00E043E4"/>
    <w:rsid w:val="00E04458"/>
    <w:rsid w:val="00E0456F"/>
    <w:rsid w:val="00E0475E"/>
    <w:rsid w:val="00E047B6"/>
    <w:rsid w:val="00E05CBD"/>
    <w:rsid w:val="00E05EF1"/>
    <w:rsid w:val="00E06993"/>
    <w:rsid w:val="00E07263"/>
    <w:rsid w:val="00E10174"/>
    <w:rsid w:val="00E13035"/>
    <w:rsid w:val="00E14380"/>
    <w:rsid w:val="00E16F19"/>
    <w:rsid w:val="00E171B1"/>
    <w:rsid w:val="00E17FA6"/>
    <w:rsid w:val="00E2133B"/>
    <w:rsid w:val="00E21487"/>
    <w:rsid w:val="00E228A7"/>
    <w:rsid w:val="00E22BB0"/>
    <w:rsid w:val="00E23639"/>
    <w:rsid w:val="00E243A0"/>
    <w:rsid w:val="00E2503C"/>
    <w:rsid w:val="00E250B6"/>
    <w:rsid w:val="00E251EC"/>
    <w:rsid w:val="00E272A5"/>
    <w:rsid w:val="00E27D0C"/>
    <w:rsid w:val="00E301DF"/>
    <w:rsid w:val="00E3029A"/>
    <w:rsid w:val="00E316D5"/>
    <w:rsid w:val="00E34028"/>
    <w:rsid w:val="00E358F9"/>
    <w:rsid w:val="00E36D9C"/>
    <w:rsid w:val="00E37750"/>
    <w:rsid w:val="00E41DD5"/>
    <w:rsid w:val="00E42F2C"/>
    <w:rsid w:val="00E46809"/>
    <w:rsid w:val="00E46975"/>
    <w:rsid w:val="00E47A88"/>
    <w:rsid w:val="00E5110C"/>
    <w:rsid w:val="00E54CD3"/>
    <w:rsid w:val="00E56D21"/>
    <w:rsid w:val="00E56E1F"/>
    <w:rsid w:val="00E57131"/>
    <w:rsid w:val="00E5723D"/>
    <w:rsid w:val="00E618C2"/>
    <w:rsid w:val="00E61D27"/>
    <w:rsid w:val="00E61F40"/>
    <w:rsid w:val="00E633B1"/>
    <w:rsid w:val="00E63A92"/>
    <w:rsid w:val="00E645CD"/>
    <w:rsid w:val="00E6464E"/>
    <w:rsid w:val="00E647A4"/>
    <w:rsid w:val="00E65643"/>
    <w:rsid w:val="00E66E86"/>
    <w:rsid w:val="00E70F12"/>
    <w:rsid w:val="00E721B5"/>
    <w:rsid w:val="00E73C75"/>
    <w:rsid w:val="00E74786"/>
    <w:rsid w:val="00E74F9E"/>
    <w:rsid w:val="00E74FC1"/>
    <w:rsid w:val="00E75253"/>
    <w:rsid w:val="00E75F16"/>
    <w:rsid w:val="00E771E2"/>
    <w:rsid w:val="00E80882"/>
    <w:rsid w:val="00E80A24"/>
    <w:rsid w:val="00E84ACE"/>
    <w:rsid w:val="00E8578C"/>
    <w:rsid w:val="00E8623B"/>
    <w:rsid w:val="00E864F9"/>
    <w:rsid w:val="00E9043D"/>
    <w:rsid w:val="00E9150E"/>
    <w:rsid w:val="00E93A13"/>
    <w:rsid w:val="00E93DED"/>
    <w:rsid w:val="00E96136"/>
    <w:rsid w:val="00E96B07"/>
    <w:rsid w:val="00E96FD0"/>
    <w:rsid w:val="00E971AD"/>
    <w:rsid w:val="00E9736A"/>
    <w:rsid w:val="00E97C7C"/>
    <w:rsid w:val="00EA041E"/>
    <w:rsid w:val="00EA05B6"/>
    <w:rsid w:val="00EA0AB4"/>
    <w:rsid w:val="00EA0BC2"/>
    <w:rsid w:val="00EA2BBC"/>
    <w:rsid w:val="00EA30C8"/>
    <w:rsid w:val="00EA30FF"/>
    <w:rsid w:val="00EA47AB"/>
    <w:rsid w:val="00EA587E"/>
    <w:rsid w:val="00EA5BEE"/>
    <w:rsid w:val="00EA743C"/>
    <w:rsid w:val="00EA7DBE"/>
    <w:rsid w:val="00EB00FC"/>
    <w:rsid w:val="00EB09F0"/>
    <w:rsid w:val="00EB208F"/>
    <w:rsid w:val="00EB2EB9"/>
    <w:rsid w:val="00EB3396"/>
    <w:rsid w:val="00EB3CC9"/>
    <w:rsid w:val="00EB4179"/>
    <w:rsid w:val="00EB4DE8"/>
    <w:rsid w:val="00EB4E57"/>
    <w:rsid w:val="00EB5AF2"/>
    <w:rsid w:val="00EB69FF"/>
    <w:rsid w:val="00EB7A6D"/>
    <w:rsid w:val="00EC003B"/>
    <w:rsid w:val="00EC0BA5"/>
    <w:rsid w:val="00EC0E30"/>
    <w:rsid w:val="00EC4DAD"/>
    <w:rsid w:val="00EC55D0"/>
    <w:rsid w:val="00EC6681"/>
    <w:rsid w:val="00EC66A0"/>
    <w:rsid w:val="00EC7766"/>
    <w:rsid w:val="00ED00A6"/>
    <w:rsid w:val="00ED0DF4"/>
    <w:rsid w:val="00ED151B"/>
    <w:rsid w:val="00ED2EE5"/>
    <w:rsid w:val="00ED36B8"/>
    <w:rsid w:val="00ED3A20"/>
    <w:rsid w:val="00ED3E00"/>
    <w:rsid w:val="00ED3E77"/>
    <w:rsid w:val="00ED4399"/>
    <w:rsid w:val="00ED5360"/>
    <w:rsid w:val="00ED5382"/>
    <w:rsid w:val="00ED59C6"/>
    <w:rsid w:val="00ED62FA"/>
    <w:rsid w:val="00EE05CE"/>
    <w:rsid w:val="00EE135E"/>
    <w:rsid w:val="00EE2645"/>
    <w:rsid w:val="00EE3F6D"/>
    <w:rsid w:val="00EE5682"/>
    <w:rsid w:val="00EE5F19"/>
    <w:rsid w:val="00EE77CF"/>
    <w:rsid w:val="00EE7CBA"/>
    <w:rsid w:val="00EF21E2"/>
    <w:rsid w:val="00EF3086"/>
    <w:rsid w:val="00EF3B9F"/>
    <w:rsid w:val="00EF5D17"/>
    <w:rsid w:val="00EF65DC"/>
    <w:rsid w:val="00EF69EA"/>
    <w:rsid w:val="00EF7034"/>
    <w:rsid w:val="00EF765C"/>
    <w:rsid w:val="00EF7902"/>
    <w:rsid w:val="00F0058A"/>
    <w:rsid w:val="00F00F98"/>
    <w:rsid w:val="00F012AC"/>
    <w:rsid w:val="00F01C62"/>
    <w:rsid w:val="00F02156"/>
    <w:rsid w:val="00F0341B"/>
    <w:rsid w:val="00F03798"/>
    <w:rsid w:val="00F071F9"/>
    <w:rsid w:val="00F1058F"/>
    <w:rsid w:val="00F1092A"/>
    <w:rsid w:val="00F11028"/>
    <w:rsid w:val="00F1117F"/>
    <w:rsid w:val="00F1126C"/>
    <w:rsid w:val="00F12F0D"/>
    <w:rsid w:val="00F132C0"/>
    <w:rsid w:val="00F1392F"/>
    <w:rsid w:val="00F159B4"/>
    <w:rsid w:val="00F15ECE"/>
    <w:rsid w:val="00F176C3"/>
    <w:rsid w:val="00F17F9F"/>
    <w:rsid w:val="00F17FA2"/>
    <w:rsid w:val="00F21985"/>
    <w:rsid w:val="00F2453F"/>
    <w:rsid w:val="00F24750"/>
    <w:rsid w:val="00F26B00"/>
    <w:rsid w:val="00F27C14"/>
    <w:rsid w:val="00F30017"/>
    <w:rsid w:val="00F31308"/>
    <w:rsid w:val="00F32563"/>
    <w:rsid w:val="00F33BDC"/>
    <w:rsid w:val="00F34479"/>
    <w:rsid w:val="00F34518"/>
    <w:rsid w:val="00F34602"/>
    <w:rsid w:val="00F347EE"/>
    <w:rsid w:val="00F34B0B"/>
    <w:rsid w:val="00F35985"/>
    <w:rsid w:val="00F36B25"/>
    <w:rsid w:val="00F37236"/>
    <w:rsid w:val="00F377D8"/>
    <w:rsid w:val="00F40163"/>
    <w:rsid w:val="00F41C00"/>
    <w:rsid w:val="00F44D5A"/>
    <w:rsid w:val="00F45027"/>
    <w:rsid w:val="00F452AD"/>
    <w:rsid w:val="00F45538"/>
    <w:rsid w:val="00F46930"/>
    <w:rsid w:val="00F469A2"/>
    <w:rsid w:val="00F50368"/>
    <w:rsid w:val="00F50CCB"/>
    <w:rsid w:val="00F51AC2"/>
    <w:rsid w:val="00F52108"/>
    <w:rsid w:val="00F52DC2"/>
    <w:rsid w:val="00F53F3C"/>
    <w:rsid w:val="00F55106"/>
    <w:rsid w:val="00F56F16"/>
    <w:rsid w:val="00F578B3"/>
    <w:rsid w:val="00F60EB8"/>
    <w:rsid w:val="00F60F57"/>
    <w:rsid w:val="00F61EB2"/>
    <w:rsid w:val="00F62142"/>
    <w:rsid w:val="00F622FF"/>
    <w:rsid w:val="00F63EF7"/>
    <w:rsid w:val="00F6432F"/>
    <w:rsid w:val="00F648BB"/>
    <w:rsid w:val="00F651BD"/>
    <w:rsid w:val="00F670F5"/>
    <w:rsid w:val="00F709DE"/>
    <w:rsid w:val="00F75136"/>
    <w:rsid w:val="00F761E0"/>
    <w:rsid w:val="00F774C7"/>
    <w:rsid w:val="00F80207"/>
    <w:rsid w:val="00F81062"/>
    <w:rsid w:val="00F8135B"/>
    <w:rsid w:val="00F81491"/>
    <w:rsid w:val="00F81868"/>
    <w:rsid w:val="00F831E8"/>
    <w:rsid w:val="00F833FC"/>
    <w:rsid w:val="00F83838"/>
    <w:rsid w:val="00F838E0"/>
    <w:rsid w:val="00F847BE"/>
    <w:rsid w:val="00F847FF"/>
    <w:rsid w:val="00F85FFF"/>
    <w:rsid w:val="00F878B9"/>
    <w:rsid w:val="00F9224F"/>
    <w:rsid w:val="00F928A3"/>
    <w:rsid w:val="00F931F3"/>
    <w:rsid w:val="00F9366E"/>
    <w:rsid w:val="00F95184"/>
    <w:rsid w:val="00F965DD"/>
    <w:rsid w:val="00F96C8B"/>
    <w:rsid w:val="00F9738C"/>
    <w:rsid w:val="00F977DF"/>
    <w:rsid w:val="00FA01B2"/>
    <w:rsid w:val="00FA0368"/>
    <w:rsid w:val="00FA1BEF"/>
    <w:rsid w:val="00FA2CC7"/>
    <w:rsid w:val="00FA39B1"/>
    <w:rsid w:val="00FA3AF6"/>
    <w:rsid w:val="00FA4412"/>
    <w:rsid w:val="00FA5558"/>
    <w:rsid w:val="00FA5C35"/>
    <w:rsid w:val="00FA617C"/>
    <w:rsid w:val="00FA6656"/>
    <w:rsid w:val="00FA7303"/>
    <w:rsid w:val="00FA747F"/>
    <w:rsid w:val="00FA76E1"/>
    <w:rsid w:val="00FA7B12"/>
    <w:rsid w:val="00FB1804"/>
    <w:rsid w:val="00FB1A50"/>
    <w:rsid w:val="00FB209A"/>
    <w:rsid w:val="00FB28CF"/>
    <w:rsid w:val="00FB3986"/>
    <w:rsid w:val="00FB4809"/>
    <w:rsid w:val="00FB5BEE"/>
    <w:rsid w:val="00FB74FF"/>
    <w:rsid w:val="00FB7741"/>
    <w:rsid w:val="00FC1110"/>
    <w:rsid w:val="00FC2EC0"/>
    <w:rsid w:val="00FC356D"/>
    <w:rsid w:val="00FC3F17"/>
    <w:rsid w:val="00FC52D4"/>
    <w:rsid w:val="00FC5522"/>
    <w:rsid w:val="00FC6375"/>
    <w:rsid w:val="00FC6491"/>
    <w:rsid w:val="00FC689E"/>
    <w:rsid w:val="00FC6963"/>
    <w:rsid w:val="00FD1ECE"/>
    <w:rsid w:val="00FD3430"/>
    <w:rsid w:val="00FD39C8"/>
    <w:rsid w:val="00FD56E9"/>
    <w:rsid w:val="00FD719E"/>
    <w:rsid w:val="00FD7500"/>
    <w:rsid w:val="00FD7C04"/>
    <w:rsid w:val="00FE066F"/>
    <w:rsid w:val="00FE29F3"/>
    <w:rsid w:val="00FE4FAA"/>
    <w:rsid w:val="00FE53A3"/>
    <w:rsid w:val="00FE551F"/>
    <w:rsid w:val="00FE6972"/>
    <w:rsid w:val="00FF0C80"/>
    <w:rsid w:val="00FF0DC3"/>
    <w:rsid w:val="00FF1213"/>
    <w:rsid w:val="00FF1BE3"/>
    <w:rsid w:val="00FF280B"/>
    <w:rsid w:val="00FF32A9"/>
    <w:rsid w:val="00FF37F0"/>
    <w:rsid w:val="00FF452D"/>
    <w:rsid w:val="00FF4D69"/>
    <w:rsid w:val="00FF683B"/>
    <w:rsid w:val="00FF6A68"/>
    <w:rsid w:val="00FF7243"/>
    <w:rsid w:val="00FF74A6"/>
    <w:rsid w:val="06EB4687"/>
    <w:rsid w:val="198518DC"/>
    <w:rsid w:val="30266D37"/>
    <w:rsid w:val="323462E5"/>
    <w:rsid w:val="3AC21BE4"/>
    <w:rsid w:val="7D646D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112"/>
        <o:r id="V:Rule2" type="connector" idref="#_x0000_s1113"/>
        <o:r id="V:Rule3" type="connector" idref="#_x0000_s1117"/>
        <o:r id="V:Rule4" type="connector" idref="#_x0000_s1119"/>
        <o:r id="V:Rule5" type="connector" idref="#_x0000_s1124"/>
        <o:r id="V:Rule6" type="connector" idref="#_x0000_s1125"/>
        <o:r id="V:Rule7" type="connector" idref="#_x0000_s1126"/>
        <o:r id="V:Rule8" type="connector" idref="#_x0000_s1131"/>
        <o:r id="V:Rule9" type="connector" idref="#_x0000_s1132"/>
        <o:r id="V:Rule10" type="connector" idref="#_x0000_s1133"/>
        <o:r id="V:Rule11" type="connector" idref="#_x0000_s1134"/>
        <o:r id="V:Rule12" type="connector" idref="#_x0000_s1135"/>
        <o:r id="V:Rule13" type="connector" idref="#_x0000_s1137"/>
        <o:r id="V:Rule14" type="connector" idref="#_x0000_s1138"/>
        <o:r id="V:Rule15" type="connector" idref="#_x0000_s113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ind w:firstLine="360"/>
      <w:jc w:val="both"/>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9"/>
    <w:pPr>
      <w:keepNext/>
      <w:keepLines/>
      <w:spacing w:before="480" w:line="276" w:lineRule="auto"/>
      <w:jc w:val="left"/>
      <w:outlineLvl w:val="0"/>
    </w:pPr>
    <w:rPr>
      <w:rFonts w:asciiTheme="majorHAnsi" w:hAnsiTheme="majorHAnsi" w:eastAsiaTheme="majorEastAsia" w:cstheme="majorBidi"/>
      <w:b/>
      <w:bCs/>
      <w:color w:val="366091" w:themeColor="accent1" w:themeShade="BF"/>
      <w:sz w:val="28"/>
      <w:szCs w:val="28"/>
      <w:lang w:bidi="en-US"/>
    </w:rPr>
  </w:style>
  <w:style w:type="paragraph" w:styleId="3">
    <w:name w:val="heading 2"/>
    <w:basedOn w:val="1"/>
    <w:next w:val="1"/>
    <w:link w:val="17"/>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8"/>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line="360" w:lineRule="auto"/>
      <w:ind w:left="0" w:right="0"/>
    </w:pPr>
    <w:rPr>
      <w:rFonts w:hint="eastAsia" w:ascii="Calibri" w:hAnsi="Calibri" w:eastAsia="Times New Roman" w:cs="Calibri"/>
      <w:sz w:val="22"/>
      <w:szCs w:val="22"/>
    </w:rPr>
    <w:tblPr>
      <w:tblCellMar>
        <w:top w:w="0" w:type="dxa"/>
        <w:left w:w="108" w:type="dxa"/>
        <w:bottom w:w="0" w:type="dxa"/>
        <w:right w:w="108" w:type="dxa"/>
      </w:tblCellMar>
    </w:tblPr>
  </w:style>
  <w:style w:type="paragraph" w:styleId="7">
    <w:name w:val="Balloon Text"/>
    <w:basedOn w:val="1"/>
    <w:link w:val="19"/>
    <w:semiHidden/>
    <w:unhideWhenUsed/>
    <w:qFormat/>
    <w:uiPriority w:val="99"/>
    <w:pPr>
      <w:spacing w:line="240" w:lineRule="auto"/>
    </w:pPr>
    <w:rPr>
      <w:rFonts w:ascii="Tahoma" w:hAnsi="Tahoma" w:cs="Tahoma"/>
      <w:sz w:val="16"/>
      <w:szCs w:val="16"/>
    </w:rPr>
  </w:style>
  <w:style w:type="character" w:styleId="8">
    <w:name w:val="Emphasis"/>
    <w:basedOn w:val="5"/>
    <w:qFormat/>
    <w:uiPriority w:val="20"/>
    <w:rPr>
      <w:i/>
      <w:iCs/>
    </w:rPr>
  </w:style>
  <w:style w:type="paragraph" w:styleId="9">
    <w:name w:val="footer"/>
    <w:basedOn w:val="1"/>
    <w:link w:val="20"/>
    <w:unhideWhenUsed/>
    <w:qFormat/>
    <w:uiPriority w:val="99"/>
    <w:pPr>
      <w:tabs>
        <w:tab w:val="center" w:pos="4680"/>
        <w:tab w:val="right" w:pos="9360"/>
      </w:tabs>
      <w:spacing w:line="240" w:lineRule="auto"/>
    </w:pPr>
  </w:style>
  <w:style w:type="paragraph" w:styleId="10">
    <w:name w:val="header"/>
    <w:basedOn w:val="1"/>
    <w:link w:val="21"/>
    <w:unhideWhenUsed/>
    <w:qFormat/>
    <w:uiPriority w:val="99"/>
    <w:pPr>
      <w:tabs>
        <w:tab w:val="center" w:pos="4680"/>
        <w:tab w:val="right" w:pos="9360"/>
      </w:tabs>
      <w:spacing w:line="240" w:lineRule="auto"/>
    </w:pPr>
  </w:style>
  <w:style w:type="paragraph" w:styleId="11">
    <w:name w:val="HTML Preformatted"/>
    <w:basedOn w:val="1"/>
    <w:link w:val="2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eastAsia="Times New Roman" w:cs="Courier New"/>
      <w:sz w:val="20"/>
      <w:szCs w:val="20"/>
    </w:rPr>
  </w:style>
  <w:style w:type="character" w:styleId="12">
    <w:name w:val="Hyperlink"/>
    <w:basedOn w:val="5"/>
    <w:unhideWhenUsed/>
    <w:qFormat/>
    <w:uiPriority w:val="99"/>
    <w:rPr>
      <w:color w:val="0000FF" w:themeColor="hyperlink"/>
      <w:u w:val="single"/>
    </w:rPr>
  </w:style>
  <w:style w:type="paragraph" w:styleId="13">
    <w:name w:val="Normal (Web)"/>
    <w:basedOn w:val="1"/>
    <w:unhideWhenUsed/>
    <w:qFormat/>
    <w:uiPriority w:val="99"/>
    <w:pPr>
      <w:spacing w:before="100" w:beforeAutospacing="1" w:after="100" w:afterAutospacing="1" w:line="240" w:lineRule="auto"/>
      <w:jc w:val="left"/>
    </w:pPr>
    <w:rPr>
      <w:rFonts w:ascii="Times New Roman" w:hAnsi="Times New Roman" w:eastAsia="Times New Roman" w:cs="Times New Roman"/>
      <w:sz w:val="24"/>
      <w:szCs w:val="24"/>
    </w:rPr>
  </w:style>
  <w:style w:type="character" w:styleId="14">
    <w:name w:val="Strong"/>
    <w:basedOn w:val="5"/>
    <w:qFormat/>
    <w:uiPriority w:val="22"/>
    <w:rPr>
      <w:b/>
      <w:bCs/>
    </w:rPr>
  </w:style>
  <w:style w:type="table" w:styleId="15">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ing 1 Char"/>
    <w:basedOn w:val="5"/>
    <w:link w:val="2"/>
    <w:qFormat/>
    <w:uiPriority w:val="9"/>
    <w:rPr>
      <w:rFonts w:asciiTheme="majorHAnsi" w:hAnsiTheme="majorHAnsi" w:eastAsiaTheme="majorEastAsia" w:cstheme="majorBidi"/>
      <w:b/>
      <w:bCs/>
      <w:color w:val="366091" w:themeColor="accent1" w:themeShade="BF"/>
      <w:sz w:val="28"/>
      <w:szCs w:val="28"/>
      <w:lang w:bidi="en-US"/>
    </w:rPr>
  </w:style>
  <w:style w:type="character" w:customStyle="1" w:styleId="17">
    <w:name w:val="Heading 2 Char"/>
    <w:basedOn w:val="5"/>
    <w:link w:val="3"/>
    <w:qFormat/>
    <w:uiPriority w:val="9"/>
    <w:rPr>
      <w:rFonts w:asciiTheme="majorHAnsi" w:hAnsiTheme="majorHAnsi" w:eastAsiaTheme="majorEastAsia" w:cstheme="majorBidi"/>
      <w:b/>
      <w:bCs/>
      <w:color w:val="4F81BD" w:themeColor="accent1"/>
      <w:sz w:val="26"/>
      <w:szCs w:val="26"/>
    </w:rPr>
  </w:style>
  <w:style w:type="character" w:customStyle="1" w:styleId="18">
    <w:name w:val="Heading 3 Char"/>
    <w:basedOn w:val="5"/>
    <w:link w:val="4"/>
    <w:qFormat/>
    <w:uiPriority w:val="9"/>
    <w:rPr>
      <w:rFonts w:asciiTheme="majorHAnsi" w:hAnsiTheme="majorHAnsi" w:eastAsiaTheme="majorEastAsia" w:cstheme="majorBidi"/>
      <w:b/>
      <w:bCs/>
      <w:color w:val="4F81BD" w:themeColor="accent1"/>
      <w:sz w:val="22"/>
      <w:szCs w:val="22"/>
    </w:rPr>
  </w:style>
  <w:style w:type="character" w:customStyle="1" w:styleId="19">
    <w:name w:val="Balloon Text Char"/>
    <w:basedOn w:val="5"/>
    <w:link w:val="7"/>
    <w:semiHidden/>
    <w:qFormat/>
    <w:uiPriority w:val="99"/>
    <w:rPr>
      <w:rFonts w:ascii="Tahoma" w:hAnsi="Tahoma" w:cs="Tahoma"/>
      <w:sz w:val="16"/>
      <w:szCs w:val="16"/>
    </w:rPr>
  </w:style>
  <w:style w:type="character" w:customStyle="1" w:styleId="20">
    <w:name w:val="Footer Char"/>
    <w:basedOn w:val="5"/>
    <w:link w:val="9"/>
    <w:qFormat/>
    <w:uiPriority w:val="99"/>
  </w:style>
  <w:style w:type="character" w:customStyle="1" w:styleId="21">
    <w:name w:val="Header Char"/>
    <w:basedOn w:val="5"/>
    <w:link w:val="10"/>
    <w:qFormat/>
    <w:uiPriority w:val="99"/>
  </w:style>
  <w:style w:type="character" w:customStyle="1" w:styleId="22">
    <w:name w:val="HTML Preformatted Char"/>
    <w:basedOn w:val="5"/>
    <w:link w:val="11"/>
    <w:qFormat/>
    <w:uiPriority w:val="99"/>
    <w:rPr>
      <w:rFonts w:ascii="Courier New" w:hAnsi="Courier New" w:eastAsia="Times New Roman" w:cs="Courier New"/>
      <w:sz w:val="20"/>
      <w:szCs w:val="20"/>
    </w:rPr>
  </w:style>
  <w:style w:type="paragraph" w:styleId="23">
    <w:name w:val="List Paragraph"/>
    <w:basedOn w:val="1"/>
    <w:qFormat/>
    <w:uiPriority w:val="34"/>
    <w:pPr>
      <w:ind w:left="720"/>
      <w:contextualSpacing/>
    </w:pPr>
  </w:style>
  <w:style w:type="paragraph" w:customStyle="1" w:styleId="24">
    <w:name w:val="Bibliography1"/>
    <w:basedOn w:val="1"/>
    <w:next w:val="1"/>
    <w:unhideWhenUsed/>
    <w:qFormat/>
    <w:uiPriority w:val="37"/>
  </w:style>
  <w:style w:type="character" w:customStyle="1" w:styleId="25">
    <w:name w:val="hgkelc"/>
    <w:basedOn w:val="5"/>
    <w:qFormat/>
    <w:uiPriority w:val="0"/>
  </w:style>
  <w:style w:type="paragraph" w:styleId="26">
    <w:name w:val="No Spacing"/>
    <w:qFormat/>
    <w:uiPriority w:val="1"/>
    <w:pPr>
      <w:ind w:firstLine="360"/>
      <w:jc w:val="both"/>
    </w:pPr>
    <w:rPr>
      <w:rFonts w:asciiTheme="minorHAnsi" w:hAnsiTheme="minorHAnsi" w:eastAsiaTheme="minorHAnsi" w:cstheme="minorBidi"/>
      <w:sz w:val="22"/>
      <w:szCs w:val="22"/>
      <w:lang w:val="en-US" w:eastAsia="en-US" w:bidi="ar-SA"/>
    </w:rPr>
  </w:style>
  <w:style w:type="character" w:styleId="27">
    <w:name w:val="Placeholder Text"/>
    <w:basedOn w:val="5"/>
    <w:semiHidden/>
    <w:qFormat/>
    <w:uiPriority w:val="99"/>
    <w:rPr>
      <w:color w:val="808080"/>
    </w:rPr>
  </w:style>
  <w:style w:type="character" w:customStyle="1" w:styleId="28">
    <w:name w:val="blue"/>
    <w:basedOn w:val="5"/>
    <w:qFormat/>
    <w:uiPriority w:val="0"/>
  </w:style>
  <w:style w:type="character" w:customStyle="1" w:styleId="29">
    <w:name w:val="apple-tab-span"/>
    <w:basedOn w:val="5"/>
    <w:qFormat/>
    <w:uiPriority w:val="0"/>
  </w:style>
  <w:style w:type="character" w:customStyle="1" w:styleId="30">
    <w:name w:val="nomor-misi"/>
    <w:basedOn w:val="5"/>
    <w:qFormat/>
    <w:uiPriority w:val="0"/>
  </w:style>
  <w:style w:type="character" w:customStyle="1" w:styleId="31">
    <w:name w:val="markedcontent"/>
    <w:basedOn w:val="5"/>
    <w:qFormat/>
    <w:uiPriority w:val="0"/>
  </w:style>
  <w:style w:type="paragraph" w:customStyle="1" w:styleId="32">
    <w:name w:val="Bibliography"/>
    <w:basedOn w:val="1"/>
    <w:next w:val="1"/>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Sheet1!$B$1</c:f>
              <c:strCache>
                <c:ptCount val="1"/>
                <c:pt idx="0">
                  <c:v>Series 1</c:v>
                </c:pt>
              </c:strCache>
            </c:strRef>
          </c:tx>
          <c:invertIfNegative val="0"/>
          <c:dLbls>
            <c:delete val="1"/>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11.42</c:v>
                </c:pt>
                <c:pt idx="1">
                  <c:v>88.44</c:v>
                </c:pt>
                <c:pt idx="2">
                  <c:v>14.83</c:v>
                </c:pt>
                <c:pt idx="3" c:formatCode="0.00">
                  <c:v>14.8</c:v>
                </c:pt>
                <c:pt idx="4">
                  <c:v>14.53</c:v>
                </c:pt>
              </c:numCache>
            </c:numRef>
          </c:val>
        </c:ser>
        <c:dLbls>
          <c:showLegendKey val="0"/>
          <c:showVal val="0"/>
          <c:showCatName val="0"/>
          <c:showSerName val="0"/>
          <c:showPercent val="0"/>
          <c:showBubbleSize val="0"/>
        </c:dLbls>
        <c:gapWidth val="95"/>
        <c:overlap val="100"/>
        <c:axId val="65649280"/>
        <c:axId val="28762496"/>
      </c:barChart>
      <c:catAx>
        <c:axId val="6564928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8762496"/>
        <c:crosses val="autoZero"/>
        <c:auto val="1"/>
        <c:lblAlgn val="ctr"/>
        <c:lblOffset val="100"/>
        <c:noMultiLvlLbl val="0"/>
      </c:catAx>
      <c:valAx>
        <c:axId val="2876249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65649280"/>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Sheet1!$B$1</c:f>
              <c:strCache>
                <c:ptCount val="1"/>
                <c:pt idx="0">
                  <c:v>Series 1</c:v>
                </c:pt>
              </c:strCache>
            </c:strRef>
          </c:tx>
          <c:invertIfNegative val="0"/>
          <c:dLbls>
            <c:delete val="1"/>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1.66</c:v>
                </c:pt>
                <c:pt idx="1">
                  <c:v>3.85</c:v>
                </c:pt>
                <c:pt idx="2">
                  <c:v>0.37</c:v>
                </c:pt>
                <c:pt idx="3">
                  <c:v>0.06</c:v>
                </c:pt>
                <c:pt idx="4" c:formatCode="0.00">
                  <c:v>0.2</c:v>
                </c:pt>
              </c:numCache>
            </c:numRef>
          </c:val>
        </c:ser>
        <c:dLbls>
          <c:showLegendKey val="0"/>
          <c:showVal val="0"/>
          <c:showCatName val="0"/>
          <c:showSerName val="0"/>
          <c:showPercent val="0"/>
          <c:showBubbleSize val="0"/>
        </c:dLbls>
        <c:gapWidth val="95"/>
        <c:overlap val="100"/>
        <c:axId val="29021696"/>
        <c:axId val="29023232"/>
      </c:barChart>
      <c:catAx>
        <c:axId val="2902169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023232"/>
        <c:crosses val="autoZero"/>
        <c:auto val="1"/>
        <c:lblAlgn val="ctr"/>
        <c:lblOffset val="100"/>
        <c:noMultiLvlLbl val="0"/>
      </c:catAx>
      <c:valAx>
        <c:axId val="2902323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021696"/>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Sheet1!$B$1</c:f>
              <c:strCache>
                <c:ptCount val="1"/>
                <c:pt idx="0">
                  <c:v>Series 1</c:v>
                </c:pt>
              </c:strCache>
            </c:strRef>
          </c:tx>
          <c:invertIfNegative val="0"/>
          <c:dLbls>
            <c:delete val="1"/>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0.390000000000003</c:v>
                </c:pt>
                <c:pt idx="1">
                  <c:v>0.390000000000003</c:v>
                </c:pt>
                <c:pt idx="2">
                  <c:v>0.390000000000003</c:v>
                </c:pt>
                <c:pt idx="3">
                  <c:v>0.390000000000003</c:v>
                </c:pt>
                <c:pt idx="4">
                  <c:v>0.390000000000003</c:v>
                </c:pt>
              </c:numCache>
            </c:numRef>
          </c:val>
        </c:ser>
        <c:dLbls>
          <c:showLegendKey val="0"/>
          <c:showVal val="0"/>
          <c:showCatName val="0"/>
          <c:showSerName val="0"/>
          <c:showPercent val="0"/>
          <c:showBubbleSize val="0"/>
        </c:dLbls>
        <c:gapWidth val="95"/>
        <c:overlap val="100"/>
        <c:axId val="29374336"/>
        <c:axId val="29375872"/>
      </c:barChart>
      <c:catAx>
        <c:axId val="2937433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375872"/>
        <c:crosses val="autoZero"/>
        <c:auto val="1"/>
        <c:lblAlgn val="ctr"/>
        <c:lblOffset val="100"/>
        <c:noMultiLvlLbl val="0"/>
      </c:catAx>
      <c:valAx>
        <c:axId val="2937587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374336"/>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7414314783686"/>
          <c:y val="0.0673041575132264"/>
          <c:w val="0.77962688371819"/>
          <c:h val="0.786353022486609"/>
        </c:manualLayout>
      </c:layout>
      <c:barChart>
        <c:barDir val="col"/>
        <c:grouping val="stacked"/>
        <c:varyColors val="0"/>
        <c:ser>
          <c:idx val="0"/>
          <c:order val="0"/>
          <c:tx>
            <c:strRef>
              <c:f>Sheet1!$B$1</c:f>
              <c:strCache>
                <c:ptCount val="1"/>
                <c:pt idx="0">
                  <c:v>Series 1</c:v>
                </c:pt>
              </c:strCache>
            </c:strRef>
          </c:tx>
          <c:invertIfNegative val="0"/>
          <c:dLbls>
            <c:delete val="1"/>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1.87</c:v>
                </c:pt>
                <c:pt idx="1">
                  <c:v>4.48</c:v>
                </c:pt>
                <c:pt idx="2">
                  <c:v>2.15</c:v>
                </c:pt>
                <c:pt idx="3">
                  <c:v>0.48</c:v>
                </c:pt>
                <c:pt idx="4">
                  <c:v>0.55</c:v>
                </c:pt>
              </c:numCache>
            </c:numRef>
          </c:val>
        </c:ser>
        <c:dLbls>
          <c:showLegendKey val="0"/>
          <c:showVal val="0"/>
          <c:showCatName val="0"/>
          <c:showSerName val="0"/>
          <c:showPercent val="0"/>
          <c:showBubbleSize val="0"/>
        </c:dLbls>
        <c:gapWidth val="95"/>
        <c:overlap val="100"/>
        <c:axId val="29709056"/>
        <c:axId val="29710592"/>
      </c:barChart>
      <c:catAx>
        <c:axId val="2970905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710592"/>
        <c:crosses val="autoZero"/>
        <c:auto val="1"/>
        <c:lblAlgn val="ctr"/>
        <c:lblOffset val="100"/>
        <c:noMultiLvlLbl val="0"/>
      </c:catAx>
      <c:valAx>
        <c:axId val="2971059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709056"/>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Sheet1!$B$1</c:f>
              <c:strCache>
                <c:ptCount val="1"/>
                <c:pt idx="0">
                  <c:v>Column1</c:v>
                </c:pt>
              </c:strCache>
            </c:strRef>
          </c:tx>
          <c:invertIfNegative val="0"/>
          <c:dLbls>
            <c:delete val="1"/>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1.35</c:v>
                </c:pt>
                <c:pt idx="1">
                  <c:v>1.54</c:v>
                </c:pt>
                <c:pt idx="2">
                  <c:v>1.74</c:v>
                </c:pt>
                <c:pt idx="3">
                  <c:v>1.67</c:v>
                </c:pt>
                <c:pt idx="4">
                  <c:v>1.74</c:v>
                </c:pt>
              </c:numCache>
            </c:numRef>
          </c:val>
        </c:ser>
        <c:dLbls>
          <c:showLegendKey val="0"/>
          <c:showVal val="0"/>
          <c:showCatName val="0"/>
          <c:showSerName val="0"/>
          <c:showPercent val="0"/>
          <c:showBubbleSize val="0"/>
        </c:dLbls>
        <c:gapWidth val="95"/>
        <c:overlap val="100"/>
        <c:axId val="29736960"/>
        <c:axId val="29738496"/>
      </c:barChart>
      <c:catAx>
        <c:axId val="2973696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738496"/>
        <c:crosses val="autoZero"/>
        <c:auto val="1"/>
        <c:lblAlgn val="ctr"/>
        <c:lblOffset val="100"/>
        <c:noMultiLvlLbl val="0"/>
      </c:catAx>
      <c:valAx>
        <c:axId val="2973849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9736960"/>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140"/>
    <customShpInfo spid="_x0000_s1141"/>
    <customShpInfo spid="_x0000_s1142"/>
    <customShpInfo spid="_x0000_s1143"/>
    <customShpInfo spid="_x0000_s1144"/>
    <customShpInfo spid="_x0000_s1145"/>
    <customShpInfo spid="_x0000_s1146"/>
    <customShpInfo spid="_x0000_s1123"/>
    <customShpInfo spid="_x0000_s1139"/>
    <customShpInfo spid="_x0000_s1134"/>
    <customShpInfo spid="_x0000_s1137"/>
    <customShpInfo spid="_x0000_s1131"/>
    <customShpInfo spid="_x0000_s1132"/>
    <customShpInfo spid="_x0000_s1133"/>
    <customShpInfo spid="_x0000_s1130"/>
    <customShpInfo spid="_x0000_s1125"/>
    <customShpInfo spid="_x0000_s1138"/>
    <customShpInfo spid="_x0000_s1126"/>
    <customShpInfo spid="_x0000_s1124"/>
    <customShpInfo spid="_x0000_s1135"/>
    <customShpInfo spid="_x0000_s1127"/>
    <customShpInfo spid="_x0000_s1128"/>
    <customShpInfo spid="_x0000_s1129"/>
    <customShpInfo spid="_x0000_s1136"/>
    <customShpInfo spid="_x0000_s1111"/>
    <customShpInfo spid="_x0000_s1117"/>
    <customShpInfo spid="_x0000_s1116"/>
    <customShpInfo spid="_x0000_s1118"/>
    <customShpInfo spid="_x0000_s1112"/>
    <customShpInfo spid="_x0000_s1114"/>
    <customShpInfo spid="_x0000_s1113"/>
    <customShpInfo spid="_x0000_s1119"/>
    <customShpInfo spid="_x0000_s1115"/>
    <customShpInfo spid="_x0000_s1149"/>
    <customShpInfo spid="_x0000_s1150"/>
    <customShpInfo spid="_x0000_s1151"/>
    <customShpInfo spid="_x0000_s1152"/>
    <customShpInfo spid="_x0000_s1153"/>
    <customShpInfo spid="_x0000_s1148"/>
  </customShpExts>
</s:customData>
</file>

<file path=customXml/item2.xml><?xml version="1.0" encoding="utf-8"?>
<b:Sources xmlns:b="http://schemas.openxmlformats.org/officeDocument/2006/bibliography" xmlns="http://schemas.openxmlformats.org/officeDocument/2006/bibliography" SelectedStyle="\APA.XSL" StyleName="APA">
  <b:Source>
    <b:Tag>Kar15</b:Tag>
    <b:SourceType>Report</b:SourceType>
    <b:Guid>{57042E69-88FF-4A97-9FCC-153DDAA6946D}</b:Guid>
    <b:Author>
      <b:Author>
        <b:NameList>
          <b:Person>
            <b:Last>Kartasukmana</b:Last>
            <b:First>Addin</b:First>
          </b:Person>
        </b:NameList>
      </b:Author>
    </b:Author>
    <b:Title>PENGARUH LEVERAGE, INVESTMENT OPPORTUNITY SET, KEPEMILIKAN MANAJERIAL DAN KEPEMILIKAN INSTITUSIONAL TERHADAP NILAI PERUSAHAAN DENGAN KEBIJAKAN DIVIDEN SEBAGAI VARIABEL INTERVENING </b:Title>
    <b:Year>2015</b:Year>
    <b:Publisher>UNIVERSITAS NEGERI SEMARANG </b:Publisher>
    <b:City>Semarang</b:City>
    <b:RefOrder>34</b:RefOrder>
  </b:Source>
  <b:Source>
    <b:Tag>Tan18</b:Tag>
    <b:SourceType>Report</b:SourceType>
    <b:Guid>{681682E6-2A1A-45E3-A53C-4466B0F1DB6B}</b:Guid>
    <b:Author>
      <b:Author>
        <b:NameList>
          <b:Person>
            <b:Last>Tan</b:Last>
            <b:First>Anita</b:First>
            <b:Middle>Prastika</b:Middle>
          </b:Person>
        </b:NameList>
      </b:Author>
    </b:Author>
    <b:Title>ENGARUH STRUKTUR MODAL, PERTUMBUHAN PENJUALAN,PROFITABILITAS,UKURAN PERUSAHAAN DAN KEBIJAKAN DEVIDEN TERHADAP NILAI PERUSAHAAN</b:Title>
    <b:Year>2018</b:Year>
    <b:Publisher>Universitas Muhammadiyah Purwokerto</b:Publisher>
    <b:City>Purwokerto</b:City>
    <b:RefOrder>1</b:RefOrder>
  </b:Source>
  <b:Source>
    <b:Tag>Tau19</b:Tag>
    <b:SourceType>Report</b:SourceType>
    <b:Guid>{7D3544EF-9EDE-4C4F-B6AB-E12A783A8437}</b:Guid>
    <b:Author>
      <b:Author>
        <b:NameList>
          <b:Person>
            <b:Last>Taufiqurochman</b:Last>
            <b:First>Farhan</b:First>
          </b:Person>
        </b:NameList>
      </b:Author>
    </b:Author>
    <b:Title>PENGARUH INTELLECTUAL CAPITALTERHADAP NILAI PERUSAHAAN DENGAN KINERJA KEUANGAN SEBAGAI VARIABEL INTERVENING</b:Title>
    <b:Year>2019</b:Year>
    <b:Publisher>UNIVERSITAS PASUNDAN BANDUNG</b:Publisher>
    <b:City>Bandung</b:City>
    <b:RefOrder>35</b:RefOrder>
  </b:Source>
  <b:Source>
    <b:Tag>WAR19</b:Tag>
    <b:SourceType>Report</b:SourceType>
    <b:Guid>{94D94A57-C6FF-4ABB-8382-9EF129654A84}</b:Guid>
    <b:Author>
      <b:Author>
        <b:NameList>
          <b:Person>
            <b:Last>Wardah</b:Last>
            <b:First>Tri</b:First>
            <b:Middle>Rahayu Noor</b:Middle>
          </b:Person>
        </b:NameList>
      </b:Author>
    </b:Author>
    <b:Title>PENGARUH GOOD CORPORATE GOVERNANCE, LEVERAGE, UKURAN PERUSAHAAN DAN CORPORATE SOCIAL RESPONSIBILITY TERHADAP NILAI PERUSAHAAN (STUDI EMPIRIS PADA SEKTOR INDUSTRI BARANG KONSUMSI DI BURSA EFEK INDONESIA PERIODE 2014 – 2016)</b:Title>
    <b:Year>2019</b:Year>
    <b:Publisher>UNIVERSITAS MURIA KUDUS</b:Publisher>
    <b:City>Kudus</b:City>
    <b:RefOrder>2</b:RefOrder>
  </b:Source>
  <b:Source>
    <b:Tag>PUR19</b:Tag>
    <b:SourceType>Report</b:SourceType>
    <b:Guid>{EB14E45B-F7C0-416F-93A4-ACFCFC8EDBFC}</b:Guid>
    <b:Author>
      <b:Author>
        <b:NameList>
          <b:Person>
            <b:Last>Purnaningsih</b:Last>
            <b:First>Ima</b:First>
            <b:Middle>Aulia</b:Middle>
          </b:Person>
        </b:NameList>
      </b:Author>
    </b:Author>
    <b:Title>NILAI PERUSAHAAN PERBANKAN YANG TERDAFTAR DI BURSA EFEK INDONESIA PERIODE 2014-2017</b:Title>
    <b:Year>2019</b:Year>
    <b:Publisher>INSTITUT AGAMA ISLAM NEGERI SURAKARTA</b:Publisher>
    <b:City>SURAKARTA</b:City>
    <b:RefOrder>36</b:RefOrder>
  </b:Source>
  <b:Source>
    <b:Tag>Rin19</b:Tag>
    <b:SourceType>Report</b:SourceType>
    <b:Guid>{474CD43B-DB34-4575-8E6F-AF4802FF67CF}</b:Guid>
    <b:Author>
      <b:Author>
        <b:NameList>
          <b:Person>
            <b:Last>Rinaldi</b:Last>
            <b:First>Rizki</b:First>
            <b:Middle>Fazar</b:Middle>
          </b:Person>
        </b:NameList>
      </b:Author>
    </b:Author>
    <b:Title>PENGARUHKEPEMILIKAN INSTITUSIONAL DANINVESTMENTOPPORTUNITY SETTERHADAPNILAI PERUSAHAAN</b:Title>
    <b:Year>2019</b:Year>
    <b:Publisher>UNIVERSITAS BANGKA BELITUNG</b:Publisher>
    <b:City>BANGKA BELITUNG</b:City>
    <b:RefOrder>37</b:RefOrder>
  </b:Source>
  <b:Source>
    <b:Tag>Put19</b:Tag>
    <b:SourceType>JournalArticle</b:SourceType>
    <b:Guid>{BBB249A1-1C28-4A17-B58A-F40B7891EC6E}</b:Guid>
    <b:Author>
      <b:Author>
        <b:NameList>
          <b:Person>
            <b:Last>Putri</b:Last>
            <b:First>Rika</b:First>
            <b:Middle>Amanda</b:Middle>
          </b:Person>
          <b:Person>
            <b:Last>Setiawan</b:Last>
            <b:First>Mia</b:First>
            <b:Middle>Angelina</b:Middle>
          </b:Person>
        </b:NameList>
      </b:Author>
    </b:Author>
    <b:Title>PENGARUH INVESTMENT OPPORTUNITY SET (IOS), KEBIJAKAN DIVIDEN, DAN OPPORTUNISTIC BEHAVIOR TERHADAP NILAI PERUSAHAAN </b:Title>
    <b:Year>2019</b:Year>
    <b:JournalName>Jurnal Eksplorasi Akuntansi</b:JournalName>
    <b:Pages>1392-1410 </b:Pages>
    <b:RefOrder>38</b:RefOrder>
  </b:Source>
  <b:Source>
    <b:Tag>Aud20</b:Tag>
    <b:SourceType>Report</b:SourceType>
    <b:Guid>{84FEFE94-7509-42D6-9B87-46A97FB4B798}</b:Guid>
    <b:Author>
      <b:Author>
        <b:NameList>
          <b:Person>
            <b:Last>Audina</b:Last>
            <b:First>Didin</b:First>
          </b:Person>
        </b:NameList>
      </b:Author>
    </b:Author>
    <b:Title>PENGARUH CORPORATE SOCIAL RESPONSIBILITY, STRUKTUR MODAL DAN PROFITABILITAS TERHADAP NILAI PERUSAHAAN</b:Title>
    <b:Year>2020</b:Year>
    <b:Publisher>UNIVERSITAS MUHAMMADYAH MALANG </b:Publisher>
    <b:City>Malang</b:City>
    <b:RefOrder>39</b:RefOrder>
  </b:Source>
  <b:Source>
    <b:Tag>Saputri2017</b:Tag>
    <b:SourceType>Report</b:SourceType>
    <b:Guid>{F50D1589-AAD4-4643-8EB8-62AB138B331A}</b:Guid>
    <b:Author>
      <b:Author>
        <b:NameList>
          <b:Person>
            <b:Last>Saputri</b:Last>
            <b:First>Mavy</b:First>
            <b:Middle>Rayi</b:Middle>
          </b:Person>
        </b:NameList>
      </b:Author>
    </b:Author>
    <b:Title>PENGARUH STRUKTUR MODAL, PROFITABILITAS TERHADAP NILAI PERUSAHAAN DENGAN INVESTMENT OPPORTUNITY SET SEBAGAI VARIABEL INTERVENING</b:Title>
    <b:Year>2017</b:Year>
    <b:Publisher>UNIVERSITAS MUHAMMADIYAH YOGYAKARTA</b:Publisher>
    <b:City>YOGYAKARTA</b:City>
    <b:RefOrder>40</b:RefOrder>
  </b:Source>
  <b:Source>
    <b:Tag>Put191</b:Tag>
    <b:SourceType>JournalArticle</b:SourceType>
    <b:Guid>{09E355BE-09AA-48BA-80DA-6A45CB9B5FDB}</b:Guid>
    <b:Author>
      <b:Author>
        <b:NameList>
          <b:Person>
            <b:Last>Putri</b:Last>
            <b:First>Rika</b:First>
            <b:Middle>Amanda</b:Middle>
          </b:Person>
          <b:Person>
            <b:Last>Setiawan</b:Last>
            <b:First>Mia</b:First>
            <b:Middle>Angelina</b:Middle>
          </b:Person>
        </b:NameList>
      </b:Author>
    </b:Author>
    <b:Title>PENGARUH INVESTMENT OPPORTUNITY SET (IOS), KEBIJAKAN DIVIDEN, DAN OPPORTUNISTIC BEHAVIOR TERHADAP NILAI PERUSAHAA</b:Title>
    <b:Year>2019</b:Year>
    <b:JournalName>Jurnal Eksplorasi Akuntansi </b:JournalName>
    <b:Pages>1392-1410 </b:Pages>
    <b:RefOrder>41</b:RefOrder>
  </b:Source>
  <b:Source>
    <b:Tag>Rin191</b:Tag>
    <b:SourceType>JournalArticle</b:SourceType>
    <b:Guid>{244B4972-A8EF-4217-95A9-1B4034E9749C}</b:Guid>
    <b:Author>
      <b:Author>
        <b:NameList>
          <b:Person>
            <b:Last>Rini</b:Last>
            <b:First>Kadek</b:First>
            <b:Middle>Dina Sabina</b:Middle>
          </b:Person>
          <b:Person>
            <b:Last>Mimba</b:Last>
            <b:First>Ni</b:First>
            <b:Middle>Putu Sri Harta</b:Middle>
          </b:Person>
        </b:NameList>
      </b:Author>
    </b:Author>
    <b:Title>Pengaruh Pengungkapan Corporate Social Responsibility, Investment Opportunity Set dan Struktur Modal pada Nilai Perusahaan </b:Title>
    <b:JournalName>e-Jurnal Akuntansi </b:JournalName>
    <b:Year>2019</b:Year>
    <b:Pages>2019-2034 </b:Pages>
    <b:RefOrder>3</b:RefOrder>
  </b:Source>
  <b:Source>
    <b:Tag>Int19</b:Tag>
    <b:SourceType>Report</b:SourceType>
    <b:Guid>{9C8F9803-7B52-444D-81CB-370A81E67FCB}</b:Guid>
    <b:Author>
      <b:Author>
        <b:NameList>
          <b:Person>
            <b:Last>Intania</b:Last>
            <b:First>Shofura</b:First>
            <b:Middle>Permata</b:Middle>
          </b:Person>
        </b:NameList>
      </b:Author>
    </b:Author>
    <b:Title>PENGARUH KEPUTUSAN INVESTASI, KEPUTUSAN PENDAANAAN, KEBIJAKAN DIVIDEN DAN RISIKO BISNIS TERHADAP NILAI PERUSAHAAN PADA PERUSAHAAN PERTAMBANGAN YANG TERDAFTAR DI BURSA EFEK INDONESIA PERIODE 2014-2017</b:Title>
    <b:Year>2019</b:Year>
    <b:Publisher>UNIVERSITAS LAMPUNG</b:Publisher>
    <b:City>LAMPUNG</b:City>
    <b:RefOrder>42</b:RefOrder>
  </b:Source>
  <b:Source>
    <b:Tag>Suj19</b:Tag>
    <b:SourceType>JournalArticle</b:SourceType>
    <b:Guid>{87403D84-C4A0-40DC-A3C6-D42FBDFB7C02}</b:Guid>
    <b:Author>
      <b:Author>
        <b:NameList>
          <b:Person>
            <b:Last>Sujana</b:Last>
            <b:First>I</b:First>
            <b:Middle>Ketut</b:Middle>
          </b:Person>
          <b:Person>
            <b:Last>Dewi</b:Last>
            <b:First>Ida</b:First>
            <b:Middle>Ayu Puspita Trisna</b:Middle>
          </b:Person>
        </b:NameList>
      </b:Author>
    </b:Author>
    <b:Title>Pengaruh Likuiditas, Pertumbuhan Penjualan, dan Risiko Bisnis terhadap Nilai Perusahaan </b:Title>
    <b:Year>2019</b:Year>
    <b:Pages>85-110 </b:Pages>
    <b:JournalName>E-Jurnal Akuntansi Universitas Udayana </b:JournalName>
    <b:RefOrder>43</b:RefOrder>
  </b:Source>
  <b:Source>
    <b:Tag>Sha16</b:Tag>
    <b:SourceType>JournalArticle</b:SourceType>
    <b:Guid>{FED330AF-D5F1-4B39-80AC-3C2BEAE21FB3}</b:Guid>
    <b:Author>
      <b:Author>
        <b:NameList>
          <b:Person>
            <b:Last>Shakti</b:Last>
            <b:First>Nicko</b:First>
            <b:Middle>Elliana</b:Middle>
          </b:Person>
          <b:Person>
            <b:Last>dkk</b:Last>
          </b:Person>
        </b:NameList>
      </b:Author>
    </b:Author>
    <b:Title>PENGARUH INSIDER OWNERSHIP, RISIKO BISNIS, DAN PERTUMBUHAN TERHADAP DEBT TO EQUITY RATIO DAN DAMPAKNYA PADA DIVIDEND PAYOUT RATIO</b:Title>
    <b:JournalName>Program Studi Magister Manajemen Program Pascasarjana,</b:JournalName>
    <b:Year>2016</b:Year>
    <b:Pages>10-20</b:Pages>
    <b:RefOrder>44</b:RefOrder>
  </b:Source>
  <b:Source>
    <b:Tag>Sap19</b:Tag>
    <b:SourceType>Report</b:SourceType>
    <b:Guid>{AE6813BF-4508-4A3E-BE99-75395E66F65A}</b:Guid>
    <b:Author>
      <b:Author>
        <b:NameList>
          <b:Person>
            <b:Last>Saputri</b:Last>
            <b:First>Ririn</b:First>
            <b:Middle>Eka</b:Middle>
          </b:Person>
        </b:NameList>
      </b:Author>
    </b:Author>
    <b:Title>PENGARUH KEPUTUSAN INVESTASITERHADAP NILAI PERUSAHAAN DENGAN RISIKO BISNISSEBAGAI VARIABEL INTERVENING PADA PERUSAHAAN MANUFAKTUR DI  BURSA</b:Title>
    <b:Year>2019</b:Year>
    <b:Publisher>FAKULTAS EKONOMI DAN BISNIS ISLAM</b:Publisher>
    <b:City>PALEMBANG</b:City>
    <b:RefOrder>45</b:RefOrder>
  </b:Source>
  <b:Source>
    <b:Tag>Rah18</b:Tag>
    <b:SourceType>Report</b:SourceType>
    <b:Guid>{4AFB2DFC-9616-43CB-AC41-BCBF1F4E5973}</b:Guid>
    <b:Author>
      <b:Author>
        <b:NameList>
          <b:Person>
            <b:Last>Rahmayani</b:Last>
            <b:First>Amalia</b:First>
            <b:Middle>Putri</b:Middle>
          </b:Person>
        </b:NameList>
      </b:Author>
    </b:Author>
    <b:Title>PENGARUH INVESTMENT OPPORTUNITY SET, KEPUTUSAN PENDANAAN, DAN KEBIJAKAN DEVIDEN TERHADAP NILAI PERUSAHAAN</b:Title>
    <b:Year>2018</b:Year>
    <b:Publisher>UNIVERSITAS ISLAM INDONESIA </b:Publisher>
    <b:City>YOGYAKARTA</b:City>
    <b:RefOrder>46</b:RefOrder>
  </b:Source>
  <b:Source>
    <b:Tag>Saf19</b:Tag>
    <b:SourceType>Report</b:SourceType>
    <b:Guid>{6E3D099C-C50B-4C5E-8FA3-C1AFCAD6C088}</b:Guid>
    <b:Author>
      <b:Author>
        <b:NameList>
          <b:Person>
            <b:Last>Safitri</b:Last>
            <b:First>Nabila</b:First>
            <b:Middle>Widya</b:Middle>
          </b:Person>
        </b:NameList>
      </b:Author>
    </b:Author>
    <b:Title>Pengaruh pengungkapan corporate social responsibilty, efektivitas dewan komisaris dan kepemilikan institusional terhadap risiko bisnis</b:Title>
    <b:Year>2019</b:Year>
    <b:Publisher>Universitas Trisakti</b:Publisher>
    <b:City>Jakarta</b:City>
    <b:RefOrder>47</b:RefOrder>
  </b:Source>
  <b:Source>
    <b:Tag>Mus16</b:Tag>
    <b:SourceType>Report</b:SourceType>
    <b:Guid>{9C65155F-8349-4231-B959-B047F3D010AB}</b:Guid>
    <b:Author>
      <b:Author>
        <b:NameList>
          <b:Person>
            <b:Last>Mustika</b:Last>
            <b:First>Tanti</b:First>
          </b:Person>
        </b:NameList>
      </b:Author>
    </b:Author>
    <b:Title>Analisis pengaruh Corporate Social Responbility terhadap risiko perusahaan </b:Title>
    <b:Year>2016</b:Year>
    <b:Publisher>Universitas Katolik Soegijapranata</b:Publisher>
    <b:City>semarang</b:City>
    <b:RefOrder>48</b:RefOrder>
  </b:Source>
  <b:Source>
    <b:Tag>RAC19</b:Tag>
    <b:SourceType>Report</b:SourceType>
    <b:Guid>{10544F13-761B-4FDB-9349-B245431CCDFF}</b:Guid>
    <b:Author>
      <b:Author>
        <b:NameList>
          <b:Person>
            <b:Last>Rachmawati</b:Last>
            <b:First>Rani</b:First>
            <b:Middle>Putri</b:Middle>
          </b:Person>
        </b:NameList>
      </b:Author>
    </b:Author>
    <b:Title>PENGARUH PROFITABILITAS (EPS), UKURAN PERUSAHAAN (SIZE) DAN LEVERAGE (DAR) TERHADAP NILAI PERUSAHAAN (TOBIN’S Q) PADA PERUSAHAANASURANSI YANG TERDAFTAR DI BURSA EFEK INDONESIA PERIODE 2013-2017</b:Title>
    <b:Year>2019</b:Year>
    <b:Publisher>Universitas Komputer Indonesia</b:Publisher>
    <b:City>BANDUNG</b:City>
    <b:RefOrder>12</b:RefOrder>
  </b:Source>
  <b:Source>
    <b:Tag>Son19</b:Tag>
    <b:SourceType>JournalArticle</b:SourceType>
    <b:Guid>{072C7A0F-456E-471E-9F2D-9FA1889B47DF}</b:Guid>
    <b:Author>
      <b:Author>
        <b:NameList>
          <b:Person>
            <b:Last>Sondakh</b:Last>
            <b:First>Renly</b:First>
          </b:Person>
          <b:Person>
            <b:Last>Morasa</b:Last>
            <b:First>Jenny</b:First>
          </b:Person>
        </b:NameList>
      </b:Author>
    </b:Author>
    <b:Title>IPTEKS MENGUKUR NILAI PERUSAHAAN DI PASAR MODAL PADA PERUSAHAAN YANG TERDAFTAR DI BURSA EFEK INDONESIA</b:Title>
    <b:Year>2019</b:Year>
    <b:JournalName>Ipteks Akuntansi bagi Masyarakat,</b:JournalName>
    <b:Pages>17-22</b:Pages>
    <b:RefOrder>14</b:RefOrder>
  </b:Source>
  <b:Source>
    <b:Tag>Kho19</b:Tag>
    <b:SourceType>JournalArticle</b:SourceType>
    <b:Guid>{11A87187-0FB8-4820-9B33-323D92D99477}</b:Guid>
    <b:Author>
      <b:Author>
        <b:NameList>
          <b:Person>
            <b:Last>Kholida</b:Last>
            <b:First>Nabila</b:First>
          </b:Person>
          <b:Person>
            <b:Last>Susilo</b:Last>
            <b:First>Dwi</b:First>
            <b:Middle>Ermayanti</b:Middle>
          </b:Person>
        </b:NameList>
      </b:Author>
    </b:Author>
    <b:Title>Pengaruh Corporate Social Responsibility Terhadap Nilai Perusahaan Dengan Profitabilitas Sebagai Variabel Moderasi</b:Title>
    <b:Year>2019</b:Year>
    <b:JournalName>Seminar Nasional Ekonomi &amp; Bisnis Dewanatara</b:JournalName>
    <b:Pages>79-88</b:Pages>
    <b:RefOrder>8</b:RefOrder>
  </b:Source>
  <b:Source>
    <b:Tag>Okt19</b:Tag>
    <b:SourceType>Report</b:SourceType>
    <b:Guid>{75298533-BD87-48E3-B32B-AB053F2268B0}</b:Guid>
    <b:Author>
      <b:Author>
        <b:NameList>
          <b:Person>
            <b:Last>Oktafiani</b:Last>
            <b:First>Siska</b:First>
            <b:Middle>Puspita</b:Middle>
          </b:Person>
        </b:NameList>
      </b:Author>
    </b:Author>
    <b:Title>PENGARUH RISIKO BISNIS, NON-DEBT TAX SHIELDDAN TANGIBILITY ASSETTERHADAP STRUKTUR MODAL</b:Title>
    <b:Year>2019</b:Year>
    <b:Publisher>UNIVERSITAS PASUNDAN </b:Publisher>
    <b:City>BANDUNG</b:City>
    <b:RefOrder>10</b:RefOrder>
  </b:Source>
  <b:Source>
    <b:Tag>Dew19</b:Tag>
    <b:SourceType>Report</b:SourceType>
    <b:Guid>{C102140F-ED7B-4F58-814C-9813A01E2653}</b:Guid>
    <b:Author>
      <b:Author>
        <b:NameList>
          <b:Person>
            <b:Last>Dewi</b:Last>
            <b:First>Riavinola</b:First>
            <b:Middle>Manghayu</b:Middle>
          </b:Person>
        </b:NameList>
      </b:Author>
    </b:Author>
    <b:Title>PENGARUH KEBIJAKAN UTANG, KEBIJAKAN DIVIDEN DAN INVESTMENT OPPORTUNITY SET (IOS) TERHADAP NILAI PERUSAHAAN </b:Title>
    <b:Year>2019</b:Year>
    <b:Publisher>UNIVERSITAS MUHAMMADIYAH MALANG </b:Publisher>
    <b:City>MALANG </b:City>
    <b:RefOrder>49</b:RefOrder>
  </b:Source>
  <b:Source>
    <b:Tag>Agi16</b:Tag>
    <b:SourceType>Report</b:SourceType>
    <b:Guid>{01606861-8A66-42E6-883D-CFF015367EFA}</b:Guid>
    <b:Author>
      <b:Author>
        <b:NameList>
          <b:Person>
            <b:Last>Agitaningtyas</b:Last>
            <b:First>Maria</b:First>
            <b:Middle>Dwininda</b:Middle>
          </b:Person>
        </b:NameList>
      </b:Author>
    </b:Author>
    <b:Title>HUBUNGAN CORPORATE SOCIAL RESPONSIBILITYDANCORPORATE GOVERNANCE DENGAN NILAI PERUSAHAAN</b:Title>
    <b:Year>2016</b:Year>
    <b:Publisher>UNIVERSITAS SANATA DHARMA</b:Publisher>
    <b:City>YOGYAKARTA </b:City>
    <b:RefOrder>50</b:RefOrder>
  </b:Source>
  <b:Source>
    <b:Tag>Sar16</b:Tag>
    <b:SourceType>JournalArticle</b:SourceType>
    <b:Guid>{DAFF996D-75E2-44E6-A14F-DEAA8A04E383}</b:Guid>
    <b:Author>
      <b:Author>
        <b:NameList>
          <b:Person>
            <b:Last>Saraswathi</b:Last>
            <b:First>Ida</b:First>
            <b:Middle>Ayu Anggawulan</b:Middle>
          </b:Person>
          <b:Person>
            <b:Last>dkk</b:Last>
          </b:Person>
        </b:NameList>
      </b:Author>
    </b:Author>
    <b:Title>PENGARUH RISIKO BISNIS, PERTUMBUHAN PERUSAHAAN DAN STRUKTUR MODAL TERHADAP PROFITABILITAS SERTA NILAI PERUSAHAAN MANUFAKTUR</b:Title>
    <b:Year>2016</b:Year>
    <b:JournalName> E-Jurnal Ekonomi dan Bisnis Universitas Udayana </b:JournalName>
    <b:Pages>1729-1756</b:Pages>
    <b:RefOrder>19</b:RefOrder>
  </b:Source>
  <b:Source>
    <b:Tag>Kho20</b:Tag>
    <b:SourceType>JournalArticle</b:SourceType>
    <b:Guid>{EC033BB6-F27A-45D1-B48A-39FCFCEDFA67}</b:Guid>
    <b:Author>
      <b:Author>
        <b:NameList>
          <b:Person>
            <b:Last>Khoeriyah</b:Last>
            <b:First>Agustina</b:First>
          </b:Person>
        </b:NameList>
      </b:Author>
    </b:Author>
    <b:Title>Pengaruh Size, Leverage, Sales Growth Dan IOS  Terhadap Nilai Perusahaan </b:Title>
    <b:Year>2020</b:Year>
    <b:JournalName> Komunikasi Ilmiah Akuntansi dan Perpajakan </b:JournalName>
    <b:Pages>96-111</b:Pages>
    <b:RefOrder>13</b:RefOrder>
  </b:Source>
  <b:Source>
    <b:Tag>Ang181</b:Tag>
    <b:SourceType>JournalArticle</b:SourceType>
    <b:Guid>{75E01114-BA7B-4515-B996-9F6BC806DC0F}</b:Guid>
    <b:Author>
      <b:Author>
        <b:NameList>
          <b:Person>
            <b:Last>Anggraeni</b:Last>
            <b:First>Sherly</b:First>
            <b:Middle>Bayu</b:Middle>
          </b:Person>
          <b:Person>
            <b:Last>dkk</b:Last>
          </b:Person>
        </b:NameList>
      </b:Author>
    </b:Author>
    <b:Title>PENGARUH FREE CASH FLOW, RISIKO BISNIS DAN INVESTMENT OPPORTUNITY SET TERHADAP NILAI PERUSAHAAN  DENGAN KEBIJAKAN HUTANG SEBAGAI VARIABEL INTERVENING</b:Title>
    <b:JournalName>Journal Of Accounting</b:JournalName>
    <b:Year>2018</b:Year>
    <b:Pages>7-18</b:Pages>
    <b:RefOrder>51</b:RefOrder>
  </b:Source>
  <b:Source>
    <b:Tag>Mur18</b:Tag>
    <b:SourceType>JournalArticle</b:SourceType>
    <b:Guid>{61A72DF0-6258-4228-BB2D-DE0FC90DF6CA}</b:Guid>
    <b:Author>
      <b:Author>
        <b:NameList>
          <b:Person>
            <b:Last>Murnita</b:Last>
            <b:First>Putu</b:First>
            <b:Middle>Elia Meilinda</b:Middle>
          </b:Person>
          <b:Person>
            <b:Last>Putra</b:Last>
            <b:First>I</b:First>
            <b:Middle>Made Pande Dwiana</b:Middle>
          </b:Person>
        </b:NameList>
      </b:Author>
    </b:Author>
    <b:Title>Pengaruh Corporate Social Responsibilityterhadap NilaiPerusahaan dengan Profitabilitas dan Leverage sebagai Variabel Pemoderasi </b:Title>
    <b:JournalName>E-Jurnal Akuntansi Universitas Udayana </b:JournalName>
    <b:Year>2018</b:Year>
    <b:Pages>1470-1494 </b:Pages>
    <b:RefOrder>21</b:RefOrder>
  </b:Source>
  <b:Source>
    <b:Tag>Gin20</b:Tag>
    <b:SourceType>JournalArticle</b:SourceType>
    <b:Guid>{57A6395D-6A15-4295-A019-905D5339DE8F}</b:Guid>
    <b:Author>
      <b:Author>
        <b:NameList>
          <b:Person>
            <b:Last>Ginting</b:Last>
            <b:First>Feren</b:First>
            <b:Middle>Geovannie</b:Middle>
          </b:Person>
          <b:Person>
            <b:Last>dkk</b:Last>
          </b:Person>
        </b:NameList>
      </b:Author>
    </b:Author>
    <b:Title>PENGARUH RISIKO BISNIS, RISIKO FINANSIAL DAN RISIKO PASAR TERHADAP NILAI PERUSAHAAN PADA BANK BUMN PERIODE TAHUN 2011-2018</b:Title>
    <b:JournalName>Jurnal EMBA</b:JournalName>
    <b:Year>2020</b:Year>
    <b:Pages>252-261</b:Pages>
    <b:RefOrder>15</b:RefOrder>
  </b:Source>
  <b:Source>
    <b:Tag>Fah16</b:Tag>
    <b:SourceType>Report</b:SourceType>
    <b:Guid>{6E6DE41E-C12C-4666-9008-726297635D31}</b:Guid>
    <b:Author>
      <b:Author>
        <b:NameList>
          <b:Person>
            <b:Last>Fahlevi</b:Last>
            <b:First>Reza</b:First>
          </b:Person>
        </b:NameList>
      </b:Author>
    </b:Author>
    <b:Title>PENGARUH INVESTMENT OPPORTUNITY SET, VOLUNTARY DISCLOSURE, LEVERAGE, DAN LIKUIDITAS TERHADAP KUALITAS LABA</b:Title>
    <b:Year>2016</b:Year>
    <b:Publisher>UNIVERSITAS ISLAM NEGERI SYARIF HIDAYATULLAH</b:Publisher>
    <b:City>JAKARTA</b:City>
    <b:RefOrder>52</b:RefOrder>
  </b:Source>
  <b:Source>
    <b:Tag>Sap191</b:Tag>
    <b:SourceType>Report</b:SourceType>
    <b:Guid>{8BEEA45A-354A-4CC8-BF07-27400FED1427}</b:Guid>
    <b:Author>
      <b:Author>
        <b:NameList>
          <b:Person>
            <b:Last>Saputri</b:Last>
            <b:First>Tiffani</b:First>
            <b:Middle>Oktafiana</b:Middle>
          </b:Person>
        </b:NameList>
      </b:Author>
    </b:Author>
    <b:Title>PENGARUH ISLAMIC CORPORATE SOCIAL RESPONSIBILITY, INVESTMENT OPPORTUNITY SET, DAN PROFITABILITASTERHADAPNILAIPERUSAHAAN</b:Title>
    <b:Year>2019</b:Year>
    <b:Publisher>UNIVERSITAS PASUNDAN</b:Publisher>
    <b:City>BANDUNG</b:City>
    <b:RefOrder>6</b:RefOrder>
  </b:Source>
  <b:Source>
    <b:Tag>Hid19</b:Tag>
    <b:SourceType>Report</b:SourceType>
    <b:Guid>{67B2DF9E-465D-4A72-B497-3A9C347CFEC6}</b:Guid>
    <b:Author>
      <b:Author>
        <b:NameList>
          <b:Person>
            <b:Last>Wulandari</b:Last>
            <b:First>Hidayah</b:First>
            <b:Middle>dalam Sylvia</b:Middle>
          </b:Person>
        </b:NameList>
      </b:Author>
    </b:Author>
    <b:Title>PENGARUH GOOD CORPORATE GOVERNANCE, LEVERAGE,DAN INVESTMENT OPPORTUNITY SETTERHADAP FIRM VALUEDENGAN PROFITABILITY RATIO SEBAGAI VARIABEL INTERVENING</b:Title>
    <b:Year>2019</b:Year>
    <b:Publisher>UNIVERSITAS ISLAM NEGERI SYARIF HIDAYATULLAH</b:Publisher>
    <b:City>JAKARTA</b:City>
    <b:RefOrder>53</b:RefOrder>
  </b:Source>
  <b:Source>
    <b:Tag>Isk16</b:Tag>
    <b:SourceType>JournalArticle</b:SourceType>
    <b:Guid>{E9F9536B-6D04-4A88-BE84-A1B654E4B2F8}</b:Guid>
    <b:Author>
      <b:Author>
        <b:NameList>
          <b:Person>
            <b:Last>Iskandar</b:Last>
          </b:Person>
        </b:NameList>
      </b:Author>
    </b:Author>
    <b:Title>PENGARUH PENERAPAN CORPORATE SOCIAL RESPONSIBILITY TERHADAP PROFITABILITAS PERUSAHAAN </b:Title>
    <b:Year>2016</b:Year>
    <b:JournalName>Forum Ekonomi;</b:JournalName>
    <b:Pages>76-84</b:Pages>
    <b:RefOrder>7</b:RefOrder>
  </b:Source>
  <b:Source>
    <b:Tag>Pra18</b:Tag>
    <b:SourceType>Report</b:SourceType>
    <b:Guid>{E6BC5DD2-E518-41A2-9878-C7B36864A076}</b:Guid>
    <b:Author>
      <b:Author>
        <b:NameList>
          <b:Person>
            <b:Last>Pratiwi</b:Last>
            <b:First>Laras</b:First>
          </b:Person>
        </b:NameList>
      </b:Author>
    </b:Author>
    <b:Title>PENGARUH KESEMPATAN INVESTASI, KINERJA KEUANGAN, DAN KEBIJAKAN UTANG TERHADAP NILAI PERUSAHAAN</b:Title>
    <b:Year>2018</b:Year>
    <b:Publisher>FAKULTAS EKONOMI UNIVERSITAS WIDYATAMA</b:Publisher>
    <b:City>Bandung</b:City>
    <b:RefOrder>16</b:RefOrder>
  </b:Source>
  <b:Source xmlns:b="http://schemas.openxmlformats.org/officeDocument/2006/bibliography">
    <b:Tag>Ret16</b:Tag>
    <b:SourceType>Report</b:SourceType>
    <b:Guid>{A5AB49EF-1307-4CDF-8A17-E524B71BD2BA}</b:Guid>
    <b:Author>
      <b:Author>
        <b:NameList>
          <b:Person>
            <b:Last>Retno dan Danies</b:Last>
            <b:First>dalam</b:First>
            <b:Middle>Maria Dwininda Agitaningtyas</b:Middle>
          </b:Person>
        </b:NameList>
      </b:Author>
    </b:Author>
    <b:Title>HUBUNGAN CORPORATE SOCIAL RESPONSIBILITYDANCORPORATE GOVERNANCE DENGAN NILAI PERUSAHAAN</b:Title>
    <b:Year>2016</b:Year>
    <b:Publisher>UNIVERSITAS SANATA DHARMA </b:Publisher>
    <b:City>YOGYAKARTA</b:City>
    <b:RefOrder>54</b:RefOrder>
  </b:Source>
  <b:Source>
    <b:Tag>dan16</b:Tag>
    <b:SourceType>Report</b:SourceType>
    <b:Guid>{E6309502-665D-4CB0-AD28-BDED10BD79B4}</b:Guid>
    <b:Author>
      <b:Author>
        <b:NameList>
          <b:Person>
            <b:Last>danis</b:Last>
            <b:First>Retno</b:First>
            <b:Middle>dalam Maria Dwininda Agitaningtyas</b:Middle>
          </b:Person>
        </b:NameList>
      </b:Author>
    </b:Author>
    <b:Title>HUBUNGAN CORPORATE SOCIAL RESPONSIBILITYDANCORPORATE GOVERNANCE DENGAN NILAI PERUSAHAAN</b:Title>
    <b:Year>2016</b:Year>
    <b:Publisher>UNIVERSITAS SANATA DHARMA</b:Publisher>
    <b:City>YOGYAKARTA</b:City>
    <b:RefOrder>17</b:RefOrder>
  </b:Source>
  <b:Source>
    <b:Tag>YUN17</b:Tag>
    <b:SourceType>Report</b:SourceType>
    <b:Guid>{EDDFB337-6B6A-40F1-B7C6-2C3E8408F3D9}</b:Guid>
    <b:Author>
      <b:Author>
        <b:NameList>
          <b:Person>
            <b:Last>Yunan</b:Last>
            <b:First>Faiza</b:First>
            <b:Middle>Amalia</b:Middle>
          </b:Person>
        </b:NameList>
      </b:Author>
    </b:Author>
    <b:Title>PENGARUH RISIKO BISNIS DAN PROFITABILITAS TERHADAP NILAI PERUSAHAAN DENGAN STRUKTUR MODAL SEBAGAI VARIABEL INTERVENING</b:Title>
    <b:Year>2017</b:Year>
    <b:Publisher>SEKOLAH TINGGI ILMU EKONOMI PERBANAS</b:Publisher>
    <b:City>SURABAYA</b:City>
    <b:RefOrder>18</b:RefOrder>
  </b:Source>
  <b:Source>
    <b:Tag>Ram17</b:Tag>
    <b:SourceType>Report</b:SourceType>
    <b:Guid>{619459A8-C3EC-4FE8-B6E5-4AE2F4D41CF7}</b:Guid>
    <b:Author>
      <b:Author>
        <b:NameList>
          <b:Person>
            <b:Last>Ramona</b:Last>
            <b:First>Suci</b:First>
          </b:Person>
        </b:NameList>
      </b:Author>
    </b:Author>
    <b:Title>PENGARUH CORPORATE SOCIAL RESPONSIBILITY TERHADAP NILAI PERUSAHAAN DENGAN PROFITABILITAS SEBAGAI VARIABEL MODERATING </b:Title>
    <b:Year>2017</b:Year>
    <b:Publisher>UNIVERSITAS PASIR PENGARAIAN </b:Publisher>
    <b:City> ROKAN HUL</b:City>
    <b:RefOrder>9</b:RefOrder>
  </b:Source>
  <b:Source>
    <b:Tag>Hol19</b:Tag>
    <b:SourceType>Report</b:SourceType>
    <b:Guid>{18FAAF4F-3879-4393-B802-F1C0E73DB2C3}</b:Guid>
    <b:Author>
      <b:Author>
        <b:NameList>
          <b:Person>
            <b:Last>Holilah</b:Last>
            <b:First>Lela</b:First>
            <b:Middle>Siti</b:Middle>
          </b:Person>
        </b:NameList>
      </b:Author>
    </b:Author>
    <b:Title>ANALISIS HARGA SAHAM YANG DIPENGARUHI OLEH LABA BERSIH DAN TINGKAT SUKU BUNGA</b:Title>
    <b:Year>2019</b:Year>
    <b:Publisher>Universitas Komputer Indonesia</b:Publisher>
    <b:City>JAKARTA</b:City>
    <b:RefOrder>55</b:RefOrder>
  </b:Source>
  <b:Source>
    <b:Tag>Rag19</b:Tag>
    <b:SourceType>JournalArticle</b:SourceType>
    <b:Guid>{4940281C-97C9-4D0A-8DBA-15DE7EA91DB7}</b:Guid>
    <b:Author>
      <b:Author>
        <b:NameList>
          <b:Person>
            <b:Last>RagilSaputra</b:Last>
            <b:First>Adi</b:First>
            <b:Middle>Hasan</b:Middle>
          </b:Person>
        </b:NameList>
      </b:Author>
    </b:Author>
    <b:Title>PENGARUH INVESTMENT OPPORTUNITY SETDAN PROFITABILITAS TERHADAP NILAI PERUSAHAAN DIMEDIASI OLEH HARGA SAHAM SEKTOR PERKEBUNAN</b:Title>
    <b:Year>2019</b:Year>
    <b:JournalName>Jurnal Akuntansi, Auditing dan Keuangan</b:JournalName>
    <b:Pages> 93--118</b:Pages>
    <b:RefOrder>56</b:RefOrder>
  </b:Source>
  <b:Source>
    <b:Tag>Sar17</b:Tag>
    <b:SourceType>Report</b:SourceType>
    <b:Guid>{E77A6BD3-03FA-4DD9-8A22-FF86D6BE6868}</b:Guid>
    <b:Author>
      <b:Author>
        <b:NameList>
          <b:Person>
            <b:Last>Sartika</b:Last>
            <b:First>Yuni</b:First>
            <b:Middle>Dwi</b:Middle>
          </b:Person>
        </b:NameList>
      </b:Author>
    </b:Author>
    <b:Title>PENGARUH CORPORATE SOCIAL RESPONSIBILITY (CSR) TERHADAP  NILAI PERUSAHAAN YANG TERDAFTAR  DI INDEKS SAHAM SYARIAH INDONESIA (ISSI) </b:Title>
    <b:Year>2017</b:Year>
    <b:Publisher>FAKULTAS EKONOMI DAN BISNIS ISLAM</b:Publisher>
    <b:City>Bengkulu</b:City>
    <b:RefOrder>22</b:RefOrder>
  </b:Source>
  <b:Source>
    <b:Tag>Wah20</b:Tag>
    <b:SourceType>JournalArticle</b:SourceType>
    <b:Guid>{D6D06EF5-0088-4524-A937-F3310D6AC8CA}</b:Guid>
    <b:Author>
      <b:Author>
        <b:NameList>
          <b:Person>
            <b:Last>Wahyudi</b:Last>
            <b:First>Sely</b:First>
            <b:Middle>Megawati</b:Middle>
          </b:Person>
        </b:NameList>
      </b:Author>
    </b:Author>
    <b:Title>the Effect Of Corporate Social Responbility, Invesment Opportunity Set, Leverage, And Size Of Companies On corporate Value</b:Title>
    <b:Year>2020</b:Year>
    <b:JournalName>f Business and Management Research</b:JournalName>
    <b:Pages>1-7</b:Pages>
    <b:RefOrder>20</b:RefOrder>
  </b:Source>
  <b:Source>
    <b:Tag>Ban20</b:Tag>
    <b:SourceType>JournalArticle</b:SourceType>
    <b:Guid>{49F618E1-DA51-4802-98AD-7572EF96E049}</b:Guid>
    <b:Author>
      <b:Author>
        <b:NameList>
          <b:Person>
            <b:Last>Bandanuji</b:Last>
            <b:First>Akhmad</b:First>
          </b:Person>
          <b:Person>
            <b:Last>Khoiruddin</b:Last>
            <b:First>Moh</b:First>
          </b:Person>
        </b:NameList>
      </b:Author>
    </b:Author>
    <b:Title>The Effect of Business Risk and Firm Size on Firm Value with Debt Policy as Intervening Variable</b:Title>
    <b:JournalName>Management Analysis Journal</b:JournalName>
    <b:Year>2020</b:Year>
    <b:Pages>2252-6552</b:Pages>
    <b:RefOrder>57</b:RefOrder>
  </b:Source>
  <b:Source>
    <b:Tag>Sar161</b:Tag>
    <b:SourceType>JournalArticle</b:SourceType>
    <b:Guid>{312A2598-151A-449D-ABB9-A04790CCFEF8}</b:Guid>
    <b:Author>
      <b:Author>
        <b:NameList>
          <b:Person>
            <b:Last>Saraswathi</b:Last>
            <b:First>da</b:First>
            <b:Middle>Ayu Anggawulan</b:Middle>
          </b:Person>
          <b:Person>
            <b:Last>dkk</b:Last>
          </b:Person>
        </b:NameList>
      </b:Author>
    </b:Author>
    <b:Title>PENGARUH RISIKO BISNIS, PERTUMBUHAN PERUSAHAAN DAN STRUKTUR MODAL TERHADAP PROFITABILITAS SERTA NILAI PERUSAHAANMANUFAKTUR</b:Title>
    <b:Year>2016</b:Year>
    <b:JournalName>E-Jurnal Ekonomi dan Bisnis Universitas Udayana</b:JournalName>
    <b:Pages>1729-1756</b:Pages>
    <b:RefOrder>4</b:RefOrder>
  </b:Source>
  <b:Source>
    <b:Tag>Wij20</b:Tag>
    <b:SourceType>JournalArticle</b:SourceType>
    <b:Guid>{2745F597-AFA0-4580-8AB9-C3F7A117CB2A}</b:Guid>
    <b:Author>
      <b:Author>
        <b:NameList>
          <b:Person>
            <b:Last>Wijaya</b:Last>
            <b:First>Ryan</b:First>
            <b:Middle>Ariesco</b:Middle>
          </b:Person>
          <b:Person>
            <b:Last>Suganda</b:Last>
            <b:First>Tarsisius</b:First>
            <b:Middle>Renald</b:Middle>
          </b:Person>
        </b:NameList>
      </b:Author>
    </b:Author>
    <b:Title>Pengaruh investment opportunity set, kinerja keuangan, dan intangible assetterhadapnilaiperusahaan</b:Title>
    <b:JournalName>AKUNTABEL</b:JournalName>
    <b:Year>2020</b:Year>
    <b:Pages>215-225</b:Pages>
    <b:RefOrder>5</b:RefOrder>
  </b:Source>
  <b:Source>
    <b:Tag>Mir17</b:Tag>
    <b:SourceType>JournalArticle</b:SourceType>
    <b:Guid>{B2363A7F-7107-4BD5-84F9-BFA20D2CC50F}</b:Guid>
    <b:Author>
      <b:Author>
        <b:NameList>
          <b:Person>
            <b:Last>Miranti</b:Last>
            <b:First>Desy</b:First>
            <b:Middle>Amelia</b:Middle>
          </b:Person>
        </b:NameList>
      </b:Author>
    </b:Author>
    <b:Title>PENGARUH PROFITABILITAS, UKURAN PERUSAHAAN, RISIKO BISNIS, STRUKTUR ASET, DAN TINGKAT PERTUMBUHAN TERHADAP STRUKTUR MODAL</b:Title>
    <b:JournalName>Jurnal Ilmiah Mahasiswa Feb</b:JournalName>
    <b:Year>2017</b:Year>
    <b:Pages>1-11</b:Pages>
    <b:RefOrder>58</b:RefOrder>
  </b:Source>
  <b:Source>
    <b:Tag>Wai19</b:Tag>
    <b:SourceType>JournalArticle</b:SourceType>
    <b:Guid>{D6FDECA5-7F5C-43D3-8954-8F9560309C94}</b:Guid>
    <b:Author>
      <b:Author>
        <b:NameList>
          <b:Person>
            <b:Last>Wairooy</b:Last>
            <b:First>Mohamad</b:First>
            <b:Middle>Ali</b:Middle>
          </b:Person>
        </b:NameList>
      </b:Author>
    </b:Author>
    <b:Title>PENGARUH UKURAN PERUSAHAAN DAN RISIKO BISNIS TERHADAP STRUKTUR MODAL PADA PERUSAHAAN INDUSTRI OTOMOTIF YANG TERDAFTAR DI BURSA EFEK INDONESIA</b:Title>
    <b:Year>2019</b:Year>
    <b:JournalName>Jurnal Ekonomi Balance Fakultas Ekonomi Dan Bisnis</b:JournalName>
    <b:Pages>1858-2192</b:Pages>
    <b:RefOrder>11</b:RefOrder>
  </b:Source>
  <b:Source>
    <b:Tag>Dar18</b:Tag>
    <b:SourceType>Book</b:SourceType>
    <b:Guid>{8DF0D356-FBFB-4861-A8E7-9B52C9B94925}</b:Guid>
    <b:Author>
      <b:Author>
        <b:NameList>
          <b:Person>
            <b:Last>Darman</b:Last>
          </b:Person>
          <b:Person>
            <b:Last>Mooduto</b:Last>
            <b:First>William</b:First>
            <b:Middle>Indra</b:Middle>
          </b:Person>
        </b:NameList>
      </b:Author>
    </b:Author>
    <b:Title>Pendekatan Praktis Menggunakan SPSS dan SmartPLS</b:Title>
    <b:Year>2018</b:Year>
    <b:City>Makasar</b:City>
    <b:Publisher>Nas Media Creative</b:Publisher>
    <b:RefOrder>24</b:RefOrder>
  </b:Source>
  <b:Source>
    <b:Tag>ASL18</b:Tag>
    <b:SourceType>Report</b:SourceType>
    <b:Guid>{18A17E32-0714-43E8-A980-64EEFBDE58B5}</b:Guid>
    <b:Author>
      <b:Author>
        <b:NameList>
          <b:Person>
            <b:Last>Aslikhan</b:Last>
            <b:First>Novi</b:First>
            <b:Middle>Nur</b:Middle>
          </b:Person>
        </b:NameList>
      </b:Author>
    </b:Author>
    <b:Title>ANALISIS PENGARUH PRICE EARNING RATIO(PER), DIVIDENDPAYOUT RATIO (DPR),PRICE TO BOOK VALUE(PBV)RATIODAN ECONOMIC VALUE ADDED(EVA) TERHADAP HARGA SAHAM</b:Title>
    <b:Year>2018</b:Year>
    <b:City>SALATIGA</b:City>
    <b:Publisher>FAKULTAS EKONOMI DAN BISNIS ISLAM</b:Publisher>
    <b:RefOrder>25</b:RefOrder>
  </b:Source>
  <b:Source>
    <b:Tag>Agu16</b:Tag>
    <b:SourceType>Report</b:SourceType>
    <b:Guid>{394E65F0-EE7B-4431-960F-D8B7D471DC06}</b:Guid>
    <b:Author>
      <b:Author>
        <b:NameList>
          <b:Person>
            <b:Last>Agustina</b:Last>
            <b:First>Dahlia</b:First>
          </b:Person>
        </b:NameList>
      </b:Author>
    </b:Author>
    <b:Title>PENGARUH RASIO MARKET TO BOOK VALUE OF EQUITY, CAPITAL EXPENDITURE TO BOOK VALUE ASSETS DAN KEPEMILIKAN MANAJERIALTERHADAP NILAI PERUSAHAAN MANUFAKTUR DI BURSA EFEK INDONESIA PERIODE 2012-2014 </b:Title>
    <b:Year>2016</b:Year>
    <b:Publisher>SEKOLAH TINGGI ILMU EKONOMI PERBANAS </b:Publisher>
    <b:City>Surabaya</b:City>
    <b:RefOrder>23</b:RefOrder>
  </b:Source>
  <b:Source>
    <b:Tag>Sis18</b:Tag>
    <b:SourceType>JournalArticle</b:SourceType>
    <b:Guid>{4681E7A0-89A1-4DB2-BF3C-3799C442A456}</b:Guid>
    <b:Author>
      <b:Author>
        <b:NameList>
          <b:Person>
            <b:Last>Siswanto</b:Last>
            <b:First>Rendi</b:First>
          </b:Person>
          <b:Person>
            <b:Last>Yanti</b:Last>
            <b:First>Budi</b:First>
          </b:Person>
        </b:NameList>
      </b:Author>
    </b:Author>
    <b:Title>Pengaruh Corporate Sosial Responsibility (CSR) terhadap Nilai Perusahaan </b:Title>
    <b:JournalName>Jurnal Manajemen dan Kewirausahaan</b:JournalName>
    <b:Year>2018</b:Year>
    <b:Pages>1-17</b:Pages>
    <b:RefOrder>59</b:RefOrder>
  </b:Source>
  <b:Source>
    <b:Tag>Ram171</b:Tag>
    <b:SourceType>Report</b:SourceType>
    <b:Guid>{F072CC58-CCC8-4B6E-8F4A-86FB803EB219}</b:Guid>
    <b:Author>
      <b:Author>
        <b:NameList>
          <b:Person>
            <b:Last>Ramona</b:Last>
            <b:First>Suci</b:First>
          </b:Person>
        </b:NameList>
      </b:Author>
    </b:Author>
    <b:Title>PENGARUH CORPORATE SOCIAL RESPONSIBILITYTERHADAP NILAI PERUSAHAAN DENGAN PROFITABILITAS SEBAGAI VARIABEL MODERATING </b:Title>
    <b:Year>2017</b:Year>
    <b:Publisher>PROGRAM STUDI AKUNTANSI FAKULTAS EKONOMI </b:Publisher>
    <b:City>ROKAN HULU</b:City>
    <b:RefOrder>29</b:RefOrder>
  </b:Source>
  <b:Source>
    <b:Tag>Yul201</b:Tag>
    <b:SourceType>JournalArticle</b:SourceType>
    <b:Guid>{8BFFBE4A-F896-4851-BF1A-0533F933A4C4}</b:Guid>
    <b:Author>
      <b:Author>
        <b:NameList>
          <b:Person>
            <b:Last>Yulia</b:Last>
            <b:First>dkk</b:First>
          </b:Person>
        </b:NameList>
      </b:Author>
    </b:Author>
    <b:Title>Analisis Pengaruh Ekuitas Merek Pada Keputusan Pembelian Smartphone I Phone XS Max Di Indonesia</b:Title>
    <b:JournalName>Jurnal Produktivitas</b:JournalName>
    <b:Year>2020</b:Year>
    <b:Pages>10-22</b:Pages>
    <b:RefOrder>26</b:RefOrder>
  </b:Source>
  <b:Source>
    <b:Tag>Sud18</b:Tag>
    <b:SourceType>JournalArticle</b:SourceType>
    <b:Guid>{E934D777-E56C-4FE8-A0ED-A26D68BC23C1}</b:Guid>
    <b:Author>
      <b:Author>
        <b:NameList>
          <b:Person>
            <b:Last>Sudiani</b:Last>
            <b:First>Ni</b:First>
            <b:Middle>Kadek Ayu</b:Middle>
          </b:Person>
          <b:Person>
            <b:Last>Darmayanti</b:Last>
            <b:First>Ni</b:First>
            <b:Middle>Putu Ayu</b:Middle>
          </b:Person>
        </b:NameList>
      </b:Author>
    </b:Author>
    <b:Title>PENGARUH PROFITABILITAS, LIKUIDITAS, PERTUMBUHAN, DANINVESTMENT OPPORTUNITY SET TERHADAP NILAI PERUSAHAAN</b:Title>
    <b:Year>2018</b:Year>
    <b:JournalName>E-Jurnal Manajemen Unud</b:JournalName>
    <b:Pages>2302-8912</b:Pages>
    <b:RefOrder>60</b:RefOrder>
  </b:Source>
  <b:Source>
    <b:Tag>Pra20</b:Tag>
    <b:SourceType>Report</b:SourceType>
    <b:Guid>{1F9B9C59-E434-4544-926A-0A1F67A93044}</b:Guid>
    <b:Author>
      <b:Author>
        <b:NameList>
          <b:Person>
            <b:Last>Pratama</b:Last>
            <b:First>lvizah</b:First>
            <b:Middle>Sri Indah</b:Middle>
          </b:Person>
        </b:NameList>
      </b:Author>
    </b:Author>
    <b:Title>CAPITAL EXPENDITURE, STRUKTUR MODAL, LEVERAGE, GOOD CORPORATE GOVERNANCE, CORPORATE SOCIAL RESPONSIBILITY DAN TOTAL ASSET TURNOVERDAMPAKNYA TERHADAP NILAI PERUSAHAAN DENGAN KINERJA KEUANGAN SEBAGAI VARIABEL INTERVENING PADA PERUSAHAAN MANUFAKTUR YANG TERD</b:Title>
    <b:Year>2020</b:Year>
    <b:Publisher>Fakultas Ekonomi Dan Bisnis</b:Publisher>
    <b:City>Tegal</b:City>
    <b:RefOrder>28</b:RefOrder>
  </b:Source>
  <b:Source>
    <b:Tag>Fit191</b:Tag>
    <b:SourceType>Report</b:SourceType>
    <b:Guid>{47560368-66CA-4E6C-8B4C-8BEDA927E0D5}</b:Guid>
    <b:Author>
      <b:Author>
        <b:NameList>
          <b:Person>
            <b:Last>Fitriani</b:Last>
            <b:First>Asti</b:First>
            <b:Middle>i</b:Middle>
          </b:Person>
        </b:NameList>
      </b:Author>
    </b:Author>
    <b:Title>PENGARUH PERTUMBUHAN PERUSAHAAN, RISIKO BISNIS, SUKU BUNGA DAN KEPUTUSAN INVESTASI TERHADAP NILAI PERUSAHAAN DENGANKEBIJAKAN HUTANG SEBAGAI VARIABEL MODERATING</b:Title>
    <b:Year>2019</b:Year>
    <b:Publisher>FAKULTAS EKONOMI DAN BISNIS</b:Publisher>
    <b:City>BANDAR LAMPUNG</b:City>
    <b:RefOrder>61</b:RefOrder>
  </b:Source>
  <b:Source>
    <b:Tag>Yul20</b:Tag>
    <b:SourceType>JournalArticle</b:SourceType>
    <b:Guid>{61098680-359F-46AA-BBE3-358930871FB9}</b:Guid>
    <b:Author>
      <b:Author>
        <b:NameList>
          <b:Person>
            <b:Last>Yuliandari</b:Last>
            <b:First>Gusti</b:First>
            <b:Middle>Ayu Putu</b:Middle>
          </b:Person>
        </b:NameList>
      </b:Author>
    </b:Author>
    <b:Title>ENGARUH CORPORATE SOCIAL RESPONSIBILITY, GOOD CORPORATE GOVERNANCE, DAN INVESTMENT OPPORTUNITY SETTERHADAP NILAI PERUSAHAAN LQ45 TAHUN 2017-2018</b:Title>
    <b:Year>2020</b:Year>
    <b:Publisher>anajamen Fakultas Ekonomi dan Bisnis Universitas</b:Publisher>
    <b:City>Denpasar</b:City>
    <b:JournalName>Manajamen Fakultas Ekonomi dan Bisnis </b:JournalName>
    <b:Pages>209-220</b:Pages>
    <b:RefOrder>31</b:RefOrder>
  </b:Source>
  <b:Source>
    <b:Tag>Sia19</b:Tag>
    <b:SourceType>JournalArticle</b:SourceType>
    <b:Guid>{D28A39C0-927E-4572-8499-77BEC8E3722C}</b:Guid>
    <b:Author>
      <b:Author>
        <b:NameList>
          <b:Person>
            <b:Last>Sianipar</b:Last>
            <b:First>Michael</b:First>
            <b:Middle>Anderson</b:Middle>
          </b:Person>
        </b:NameList>
      </b:Author>
    </b:Author>
    <b:Title>PERAN INVESTMENT OPPORTUNITY SETSEBAGAI PEMODERASI PENGARUH KINERJA KEUANGAN, GOODCORPORATE GOVERNANCE DAN CORPORATE SOCIAL RESPONSIBILITY TERHADAP NILAI PERUSAHAAN</b:Title>
    <b:Year>2019</b:Year>
    <b:Publisher>Fakultas Ekonomi dan Bisnis Universitas Trisakti </b:Publisher>
    <b:JournalName>Jurnal Akuntansi Trisakti</b:JournalName>
    <b:Pages>85-100</b:Pages>
    <b:RefOrder>62</b:RefOrder>
  </b:Source>
  <b:Source>
    <b:Tag>Kol20</b:Tag>
    <b:SourceType>JournalArticle</b:SourceType>
    <b:Guid>{FF10E9FF-D817-48BC-A4FF-CC83CF28DD11}</b:Guid>
    <b:Author>
      <b:Author>
        <b:NameList>
          <b:Person>
            <b:Last>Kolibu</b:Last>
            <b:First>dkk</b:First>
          </b:Person>
        </b:NameList>
      </b:Author>
    </b:Author>
    <b:Title>NALISIS INVESTMENT OPPORTUNITY SET, CORPORATE GOVERNANCE,RISIKO BISNIS, DAN PROFITABILITAS TERHADAP NILAI PERUSAHAAN CONSUMER GOODSDENGAN HIGH LEVERAGEDI BURSA EFEK INDONESIA</b:Title>
    <b:JournalName>Jurnal EMBA</b:JournalName>
    <b:Year>2020</b:Year>
    <b:Pages>202-211</b:Pages>
    <b:RefOrder>63</b:RefOrder>
  </b:Source>
  <b:Source>
    <b:Tag>Dha19</b:Tag>
    <b:SourceType>JournalArticle</b:SourceType>
    <b:Guid>{B2FFC55E-887F-45D9-A7F2-77298AB9FB30}</b:Guid>
    <b:Author>
      <b:Author>
        <b:NameList>
          <b:Person>
            <b:Last>Dharmawan</b:Last>
            <b:First>Billy</b:First>
          </b:Person>
          <b:Person>
            <b:Last>Riza</b:Last>
            <b:First>Fahrul</b:First>
          </b:Person>
        </b:NameList>
      </b:Author>
    </b:Author>
    <b:Title>PENGARUH INVESTMENT OPPORTUNITY SET TERHADAP NILAI PERUSAHAAN DENGAN MEMEDIASI KEBIJAKA DEVIDEN</b:Title>
    <b:Year>2019</b:Year>
    <b:JournalName>Business Management Journal</b:JournalName>
    <b:Pages>1-67</b:Pages>
    <b:RefOrder>27</b:RefOrder>
  </b:Source>
  <b:Source>
    <b:Tag>Isn19</b:Tag>
    <b:SourceType>JournalArticle</b:SourceType>
    <b:Guid>{4B55B4AA-DC52-4A22-BB2A-FC9D71FCFF56}</b:Guid>
    <b:Author>
      <b:Author>
        <b:NameList>
          <b:Person>
            <b:Last>Isnania</b:Last>
            <b:First>Siti</b:First>
            <b:Middle>Nur</b:Middle>
          </b:Person>
        </b:NameList>
      </b:Author>
    </b:Author>
    <b:Title>PENGARUH INVESTMENT OPPORTUNITY SET(IOS) DAN KEPEMILIKAN MANAJERIAL TERHADAP RETURN SAHAM</b:Title>
    <b:JournalName>Jurnal Ilmu dan Riset Akuntansi </b:JournalName>
    <b:Year>2019</b:Year>
    <b:Pages>1-24</b:Pages>
    <b:RefOrder>32</b:RefOrder>
  </b:Source>
  <b:Source>
    <b:Tag>YUN171</b:Tag>
    <b:SourceType>Report</b:SourceType>
    <b:Guid>{83C4395F-7A8F-457D-A8AE-629C2902D437}</b:Guid>
    <b:Author>
      <b:Author>
        <b:NameList>
          <b:Person>
            <b:Last>Yunan</b:Last>
            <b:First>Faiza</b:First>
            <b:Middle>Amalia</b:Middle>
          </b:Person>
        </b:NameList>
      </b:Author>
    </b:Author>
    <b:Title>ENGARUH RISIKO BISNIS DAN PROFITABILITAS TERHADAP NILAI PERUSAHAAN DENGAN STRUKTUR MODAL SEBAGAI VARIABEL INTERVENING</b:Title>
    <b:Year>2017</b:Year>
    <b:Publisher>SEKOLAH TINGGI ILMU EKONOMI PERBANAS</b:Publisher>
    <b:City>Surabaya</b:City>
    <b:RefOrder>33</b:RefOrder>
  </b:Source>
  <b:Source>
    <b:Tag>Yun17</b:Tag>
    <b:SourceType>Report</b:SourceType>
    <b:Guid>{554CBF6B-37DA-49DB-9EBC-9D74AC4D68AE}</b:Guid>
    <b:Author>
      <b:Author>
        <b:NameList>
          <b:Person>
            <b:Last>Yunan</b:Last>
            <b:First>Amelia</b:First>
            <b:Middle>Faiza</b:Middle>
          </b:Person>
        </b:NameList>
      </b:Author>
    </b:Author>
    <b:Title>PENGARUH RISIKO BISNIS DAN PROFITABILITAS TERHADAP </b:Title>
    <b:Year>2017</b:Year>
    <b:Publisher>SEKOLAH TINGGI ILMU EKONOMI PERBANAS</b:Publisher>
    <b:City>Surabaya</b:City>
    <b:RefOrder>30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E59E21-A71F-4D7E-94A0-91D302A33C6B}">
  <ds:schemaRefs/>
</ds:datastoreItem>
</file>

<file path=docProps/app.xml><?xml version="1.0" encoding="utf-8"?>
<Properties xmlns="http://schemas.openxmlformats.org/officeDocument/2006/extended-properties" xmlns:vt="http://schemas.openxmlformats.org/officeDocument/2006/docPropsVTypes">
  <Template>Normal</Template>
  <Pages>228</Pages>
  <Words>33011</Words>
  <Characters>213917</Characters>
  <Lines>2096</Lines>
  <Paragraphs>590</Paragraphs>
  <TotalTime>7</TotalTime>
  <ScaleCrop>false</ScaleCrop>
  <LinksUpToDate>false</LinksUpToDate>
  <CharactersWithSpaces>283030</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2021-06-17T12:51:00Z</dcterms:created>
  <dc:creator>WIN 10</dc:creator>
  <cp:lastModifiedBy>Computer</cp:lastModifiedBy>
  <cp:lastPrinted>2021-10-28T11:33:00Z</cp:lastPrinted>
  <dcterms:modified xsi:type="dcterms:W3CDTF">2021-11-01T05:16:27Z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75C8CC12AAA54340B4780F1249467184</vt:lpwstr>
  </property>
</Properties>
</file>