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spacing w:line="240" w:lineRule="auto" w:before="207"/>
        <w:ind w:left="802" w:right="1014" w:firstLine="0"/>
        <w:jc w:val="center"/>
        <w:rPr>
          <w:b/>
          <w:sz w:val="32"/>
        </w:rPr>
      </w:pPr>
      <w:r>
        <w:rPr>
          <w:b/>
          <w:sz w:val="32"/>
        </w:rPr>
        <w:t>PENGARUH </w:t>
      </w:r>
      <w:r>
        <w:rPr>
          <w:b/>
          <w:i/>
          <w:sz w:val="32"/>
        </w:rPr>
        <w:t>RETURN ON ASSET </w:t>
      </w:r>
      <w:r>
        <w:rPr>
          <w:b/>
          <w:sz w:val="32"/>
        </w:rPr>
        <w:t>DAN </w:t>
      </w:r>
      <w:r>
        <w:rPr>
          <w:b/>
          <w:i/>
          <w:sz w:val="32"/>
        </w:rPr>
        <w:t>RETURN ON </w:t>
      </w:r>
      <w:r>
        <w:rPr>
          <w:b/>
          <w:i/>
          <w:sz w:val="32"/>
        </w:rPr>
        <w:t>EQUITY </w:t>
      </w:r>
      <w:r>
        <w:rPr>
          <w:b/>
          <w:sz w:val="32"/>
        </w:rPr>
        <w:t>TERHADAP HARGA SAHAM PADA PERUSAHAAN SUB SEKTOR SEMEN YANG TERDAFTAR DI BURSA EFEK INDONESIA</w:t>
      </w:r>
    </w:p>
    <w:p>
      <w:pPr>
        <w:pStyle w:val="BodyText"/>
        <w:rPr>
          <w:b/>
          <w:sz w:val="36"/>
        </w:rPr>
      </w:pPr>
    </w:p>
    <w:p>
      <w:pPr>
        <w:pStyle w:val="BodyText"/>
        <w:spacing w:before="8"/>
        <w:rPr>
          <w:b/>
          <w:sz w:val="35"/>
        </w:rPr>
      </w:pPr>
    </w:p>
    <w:p>
      <w:pPr>
        <w:pStyle w:val="Heading3"/>
        <w:spacing w:line="430" w:lineRule="atLeast" w:before="1"/>
        <w:ind w:left="3261" w:right="3455" w:firstLine="1046"/>
        <w:jc w:val="left"/>
      </w:pPr>
      <w:r>
        <w:rPr/>
        <w:t>Oleh SUSILVIA INDRARANI</w:t>
      </w:r>
    </w:p>
    <w:p>
      <w:pPr>
        <w:spacing w:before="4"/>
        <w:ind w:left="802" w:right="1004" w:firstLine="0"/>
        <w:jc w:val="center"/>
        <w:rPr>
          <w:b/>
          <w:sz w:val="24"/>
        </w:rPr>
      </w:pPr>
      <w:r>
        <w:rPr>
          <w:b/>
          <w:sz w:val="24"/>
        </w:rPr>
        <w:t>E.21.16.178</w:t>
      </w:r>
    </w:p>
    <w:p>
      <w:pPr>
        <w:pStyle w:val="BodyText"/>
        <w:rPr>
          <w:b/>
          <w:sz w:val="26"/>
        </w:rPr>
      </w:pPr>
    </w:p>
    <w:p>
      <w:pPr>
        <w:pStyle w:val="BodyText"/>
        <w:rPr>
          <w:b/>
          <w:sz w:val="26"/>
        </w:rPr>
      </w:pPr>
    </w:p>
    <w:p>
      <w:pPr>
        <w:pStyle w:val="BodyText"/>
        <w:rPr>
          <w:b/>
          <w:sz w:val="26"/>
        </w:rPr>
      </w:pPr>
    </w:p>
    <w:p>
      <w:pPr>
        <w:pStyle w:val="BodyText"/>
        <w:spacing w:before="5"/>
        <w:rPr>
          <w:b/>
          <w:sz w:val="27"/>
        </w:rPr>
      </w:pPr>
    </w:p>
    <w:p>
      <w:pPr>
        <w:pStyle w:val="Heading3"/>
        <w:ind w:left="802" w:right="1007" w:firstLine="0"/>
        <w:jc w:val="center"/>
      </w:pPr>
      <w:r>
        <w:rPr/>
        <w:t>SKRIPSI</w:t>
      </w:r>
    </w:p>
    <w:p>
      <w:pPr>
        <w:pStyle w:val="BodyText"/>
        <w:rPr>
          <w:b/>
          <w:sz w:val="26"/>
        </w:rPr>
      </w:pPr>
    </w:p>
    <w:p>
      <w:pPr>
        <w:spacing w:line="259" w:lineRule="auto" w:before="213"/>
        <w:ind w:left="2473" w:right="2684" w:firstLine="0"/>
        <w:jc w:val="center"/>
        <w:rPr>
          <w:b/>
          <w:sz w:val="24"/>
        </w:rPr>
      </w:pPr>
      <w:r>
        <w:rPr>
          <w:b/>
          <w:sz w:val="24"/>
        </w:rPr>
        <w:t>Untuk memenuhi salah satu syarat ujian Guna memperoleh gelar Sarjana</w:t>
      </w:r>
    </w:p>
    <w:p>
      <w:pPr>
        <w:pStyle w:val="BodyText"/>
        <w:rPr>
          <w:b/>
          <w:sz w:val="20"/>
        </w:rPr>
      </w:pPr>
    </w:p>
    <w:p>
      <w:pPr>
        <w:pStyle w:val="BodyText"/>
        <w:rPr>
          <w:b/>
          <w:sz w:val="20"/>
        </w:rPr>
      </w:pPr>
    </w:p>
    <w:p>
      <w:pPr>
        <w:pStyle w:val="BodyText"/>
        <w:spacing w:before="2"/>
        <w:rPr>
          <w:b/>
          <w:sz w:val="26"/>
        </w:rPr>
      </w:pPr>
      <w:r>
        <w:rPr/>
        <w:drawing>
          <wp:anchor distT="0" distB="0" distL="0" distR="0" allowOverlap="1" layoutInCell="1" locked="0" behindDoc="0" simplePos="0" relativeHeight="0">
            <wp:simplePos x="0" y="0"/>
            <wp:positionH relativeFrom="page">
              <wp:posOffset>3114294</wp:posOffset>
            </wp:positionH>
            <wp:positionV relativeFrom="paragraph">
              <wp:posOffset>215987</wp:posOffset>
            </wp:positionV>
            <wp:extent cx="1705667" cy="1633061"/>
            <wp:effectExtent l="0" t="0" r="0" b="0"/>
            <wp:wrapTopAndBottom/>
            <wp:docPr id="1" name="image1.png" descr="C:\itha punya\Proposal\ICHSAN.tif"/>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05667" cy="1633061"/>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pStyle w:val="BodyText"/>
        <w:spacing w:before="7"/>
        <w:rPr>
          <w:b/>
          <w:sz w:val="29"/>
        </w:rPr>
      </w:pPr>
    </w:p>
    <w:p>
      <w:pPr>
        <w:pStyle w:val="Heading2"/>
        <w:spacing w:line="276" w:lineRule="auto"/>
        <w:ind w:left="2060" w:right="2255" w:firstLine="1066"/>
        <w:jc w:val="left"/>
      </w:pPr>
      <w:r>
        <w:rPr/>
        <w:t>PROGRAM SARJANA UNIVERSITAS ICHSAN GORONTALO</w:t>
      </w:r>
    </w:p>
    <w:p>
      <w:pPr>
        <w:spacing w:line="276" w:lineRule="auto" w:before="0"/>
        <w:ind w:left="4274" w:right="3828" w:hanging="644"/>
        <w:jc w:val="left"/>
        <w:rPr>
          <w:b/>
          <w:sz w:val="28"/>
        </w:rPr>
      </w:pPr>
      <w:r>
        <w:rPr>
          <w:b/>
          <w:sz w:val="28"/>
        </w:rPr>
        <w:t>GORONTALO 2020</w:t>
      </w:r>
    </w:p>
    <w:p>
      <w:pPr>
        <w:spacing w:after="0" w:line="276" w:lineRule="auto"/>
        <w:jc w:val="left"/>
        <w:rPr>
          <w:sz w:val="28"/>
        </w:rPr>
        <w:sectPr>
          <w:type w:val="continuous"/>
          <w:pgSz w:w="11910" w:h="16840"/>
          <w:pgMar w:top="1580" w:bottom="280" w:left="1680" w:right="900"/>
        </w:sectPr>
      </w:pPr>
    </w:p>
    <w:p>
      <w:pPr>
        <w:pStyle w:val="BodyText"/>
        <w:rPr>
          <w:b/>
          <w:sz w:val="20"/>
        </w:rPr>
      </w:pPr>
    </w:p>
    <w:p>
      <w:pPr>
        <w:pStyle w:val="BodyText"/>
        <w:rPr>
          <w:b/>
          <w:sz w:val="20"/>
        </w:rPr>
      </w:pPr>
    </w:p>
    <w:p>
      <w:pPr>
        <w:pStyle w:val="BodyText"/>
        <w:spacing w:before="2"/>
        <w:rPr>
          <w:b/>
          <w:sz w:val="18"/>
        </w:rPr>
      </w:pPr>
    </w:p>
    <w:p>
      <w:pPr>
        <w:pStyle w:val="BodyText"/>
        <w:ind w:left="588"/>
        <w:rPr>
          <w:sz w:val="20"/>
        </w:rPr>
      </w:pPr>
      <w:r>
        <w:rPr>
          <w:sz w:val="20"/>
        </w:rPr>
        <w:drawing>
          <wp:inline distT="0" distB="0" distL="0" distR="0">
            <wp:extent cx="5036929" cy="7836408"/>
            <wp:effectExtent l="0" t="0" r="0" b="0"/>
            <wp:docPr id="3" name="image2.jpeg" descr="C:\Users\HASMIR~1\AppData\Local\Temp\Rar$DRa668.7802\susilvia\susilvia_1.jp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036929" cy="7836408"/>
                    </a:xfrm>
                    <a:prstGeom prst="rect">
                      <a:avLst/>
                    </a:prstGeom>
                  </pic:spPr>
                </pic:pic>
              </a:graphicData>
            </a:graphic>
          </wp:inline>
        </w:drawing>
      </w:r>
      <w:r>
        <w:rPr>
          <w:sz w:val="20"/>
        </w:rPr>
      </w:r>
    </w:p>
    <w:p>
      <w:pPr>
        <w:spacing w:after="0"/>
        <w:rPr>
          <w:sz w:val="20"/>
        </w:rPr>
        <w:sectPr>
          <w:footerReference w:type="default" r:id="rId6"/>
          <w:pgSz w:w="11910" w:h="16840"/>
          <w:pgMar w:footer="918" w:header="0" w:top="1580" w:bottom="1100" w:left="1680" w:right="900"/>
          <w:pgNumType w:start="2"/>
        </w:sectPr>
      </w:pPr>
    </w:p>
    <w:p>
      <w:pPr>
        <w:pStyle w:val="BodyText"/>
        <w:rPr>
          <w:b/>
          <w:sz w:val="20"/>
        </w:rPr>
      </w:pPr>
    </w:p>
    <w:p>
      <w:pPr>
        <w:pStyle w:val="BodyText"/>
        <w:rPr>
          <w:b/>
          <w:sz w:val="20"/>
        </w:rPr>
      </w:pPr>
    </w:p>
    <w:p>
      <w:pPr>
        <w:pStyle w:val="BodyText"/>
        <w:spacing w:before="2"/>
        <w:rPr>
          <w:b/>
          <w:sz w:val="18"/>
        </w:rPr>
      </w:pPr>
    </w:p>
    <w:p>
      <w:pPr>
        <w:pStyle w:val="BodyText"/>
        <w:ind w:left="588"/>
        <w:rPr>
          <w:sz w:val="20"/>
        </w:rPr>
      </w:pPr>
      <w:r>
        <w:rPr>
          <w:sz w:val="20"/>
        </w:rPr>
        <w:drawing>
          <wp:inline distT="0" distB="0" distL="0" distR="0">
            <wp:extent cx="5037161" cy="7854696"/>
            <wp:effectExtent l="0" t="0" r="0" b="0"/>
            <wp:docPr id="5" name="image3.jpeg" descr="C:\Users\HASMIR~1\AppData\Local\Temp\Rar$DRa668.7802\susilvia\susilvia_2.jp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037161" cy="7854696"/>
                    </a:xfrm>
                    <a:prstGeom prst="rect">
                      <a:avLst/>
                    </a:prstGeom>
                  </pic:spPr>
                </pic:pic>
              </a:graphicData>
            </a:graphic>
          </wp:inline>
        </w:drawing>
      </w:r>
      <w:r>
        <w:rPr>
          <w:sz w:val="20"/>
        </w:rPr>
      </w:r>
    </w:p>
    <w:p>
      <w:pPr>
        <w:spacing w:after="0"/>
        <w:rPr>
          <w:sz w:val="20"/>
        </w:rPr>
        <w:sectPr>
          <w:pgSz w:w="11910" w:h="16840"/>
          <w:pgMar w:header="0" w:footer="918" w:top="1580" w:bottom="1100" w:left="1680" w:right="900"/>
        </w:sectPr>
      </w:pPr>
    </w:p>
    <w:p>
      <w:pPr>
        <w:pStyle w:val="BodyText"/>
        <w:rPr>
          <w:b/>
          <w:sz w:val="20"/>
        </w:rPr>
      </w:pPr>
    </w:p>
    <w:p>
      <w:pPr>
        <w:pStyle w:val="BodyText"/>
        <w:rPr>
          <w:b/>
          <w:sz w:val="20"/>
        </w:rPr>
      </w:pPr>
    </w:p>
    <w:p>
      <w:pPr>
        <w:pStyle w:val="BodyText"/>
        <w:spacing w:before="2"/>
        <w:rPr>
          <w:b/>
          <w:sz w:val="18"/>
        </w:rPr>
      </w:pPr>
    </w:p>
    <w:p>
      <w:pPr>
        <w:pStyle w:val="BodyText"/>
        <w:ind w:left="510"/>
        <w:rPr>
          <w:sz w:val="20"/>
        </w:rPr>
      </w:pPr>
      <w:r>
        <w:rPr>
          <w:sz w:val="20"/>
        </w:rPr>
        <w:drawing>
          <wp:inline distT="0" distB="0" distL="0" distR="0">
            <wp:extent cx="5037161" cy="7854696"/>
            <wp:effectExtent l="0" t="0" r="0" b="0"/>
            <wp:docPr id="7" name="image4.jpeg" descr="C:\Users\HASMIR~1\AppData\Local\Temp\Rar$DRa668.7802\susilvia\susilvia_3.jp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037161" cy="7854696"/>
                    </a:xfrm>
                    <a:prstGeom prst="rect">
                      <a:avLst/>
                    </a:prstGeom>
                  </pic:spPr>
                </pic:pic>
              </a:graphicData>
            </a:graphic>
          </wp:inline>
        </w:drawing>
      </w:r>
      <w:r>
        <w:rPr>
          <w:sz w:val="20"/>
        </w:rPr>
      </w:r>
    </w:p>
    <w:p>
      <w:pPr>
        <w:spacing w:after="0"/>
        <w:rPr>
          <w:sz w:val="20"/>
        </w:rPr>
        <w:sectPr>
          <w:pgSz w:w="11910" w:h="16840"/>
          <w:pgMar w:header="0" w:footer="918" w:top="1580" w:bottom="1100" w:left="1680" w:right="900"/>
        </w:sectPr>
      </w:pPr>
    </w:p>
    <w:p>
      <w:pPr>
        <w:pStyle w:val="BodyText"/>
        <w:rPr>
          <w:b/>
          <w:sz w:val="20"/>
        </w:rPr>
      </w:pPr>
    </w:p>
    <w:p>
      <w:pPr>
        <w:pStyle w:val="BodyText"/>
        <w:rPr>
          <w:b/>
          <w:sz w:val="20"/>
        </w:rPr>
      </w:pPr>
    </w:p>
    <w:p>
      <w:pPr>
        <w:pStyle w:val="Heading3"/>
        <w:spacing w:before="205"/>
        <w:ind w:left="802" w:right="1009" w:firstLine="0"/>
        <w:jc w:val="center"/>
      </w:pPr>
      <w:bookmarkStart w:name="_TOC_250021" w:id="1"/>
      <w:bookmarkEnd w:id="1"/>
      <w:r>
        <w:rPr/>
        <w:t>ABSTRAK</w:t>
      </w:r>
    </w:p>
    <w:p>
      <w:pPr>
        <w:pStyle w:val="BodyText"/>
        <w:rPr>
          <w:b/>
          <w:sz w:val="36"/>
        </w:rPr>
      </w:pPr>
    </w:p>
    <w:p>
      <w:pPr>
        <w:spacing w:line="240" w:lineRule="auto" w:before="0"/>
        <w:ind w:left="586" w:right="789" w:firstLine="566"/>
        <w:jc w:val="both"/>
        <w:rPr>
          <w:sz w:val="20"/>
        </w:rPr>
      </w:pPr>
      <w:r>
        <w:rPr>
          <w:sz w:val="20"/>
        </w:rPr>
        <w:t>Penelitian ini bertujuan untuk mengetahui </w:t>
      </w:r>
      <w:r>
        <w:rPr>
          <w:spacing w:val="-3"/>
          <w:sz w:val="20"/>
        </w:rPr>
        <w:t>dan </w:t>
      </w:r>
      <w:r>
        <w:rPr>
          <w:sz w:val="20"/>
        </w:rPr>
        <w:t>menganalisis seberapa besar pengaruh  </w:t>
      </w:r>
      <w:r>
        <w:rPr>
          <w:i/>
          <w:sz w:val="20"/>
        </w:rPr>
        <w:t>Return On Assets </w:t>
      </w:r>
      <w:r>
        <w:rPr>
          <w:sz w:val="20"/>
        </w:rPr>
        <w:t>(X1) dan </w:t>
      </w:r>
      <w:r>
        <w:rPr>
          <w:i/>
          <w:sz w:val="20"/>
        </w:rPr>
        <w:t>Return </w:t>
      </w:r>
      <w:r>
        <w:rPr>
          <w:i/>
          <w:spacing w:val="-4"/>
          <w:sz w:val="20"/>
        </w:rPr>
        <w:t>On </w:t>
      </w:r>
      <w:r>
        <w:rPr>
          <w:i/>
          <w:sz w:val="20"/>
        </w:rPr>
        <w:t>Equity </w:t>
      </w:r>
      <w:r>
        <w:rPr>
          <w:sz w:val="20"/>
        </w:rPr>
        <w:t>(X2) baik secara </w:t>
      </w:r>
      <w:r>
        <w:rPr>
          <w:i/>
          <w:sz w:val="20"/>
        </w:rPr>
        <w:t>simultan </w:t>
      </w:r>
      <w:r>
        <w:rPr>
          <w:sz w:val="20"/>
        </w:rPr>
        <w:t>maupun </w:t>
      </w:r>
      <w:r>
        <w:rPr>
          <w:i/>
          <w:sz w:val="20"/>
        </w:rPr>
        <w:t>parsial </w:t>
      </w:r>
      <w:r>
        <w:rPr>
          <w:sz w:val="20"/>
        </w:rPr>
        <w:t>terhadap Harga Saham. Penelitian adalah penelitian kuantitatif, dengan menggunakan analisis rasio. Metode analisis menggunakan regresi linier berganda. Hasil penelitian menunjukkan </w:t>
      </w:r>
      <w:r>
        <w:rPr>
          <w:spacing w:val="-3"/>
          <w:sz w:val="20"/>
        </w:rPr>
        <w:t>bahwa </w:t>
      </w:r>
      <w:r>
        <w:rPr>
          <w:i/>
          <w:sz w:val="20"/>
        </w:rPr>
        <w:t>Return On </w:t>
      </w:r>
      <w:r>
        <w:rPr>
          <w:i/>
          <w:sz w:val="20"/>
        </w:rPr>
        <w:t>Assets </w:t>
      </w:r>
      <w:r>
        <w:rPr>
          <w:sz w:val="20"/>
        </w:rPr>
        <w:t>(X1) dan </w:t>
      </w:r>
      <w:r>
        <w:rPr>
          <w:i/>
          <w:sz w:val="20"/>
        </w:rPr>
        <w:t>Return On Equity </w:t>
      </w:r>
      <w:r>
        <w:rPr>
          <w:sz w:val="20"/>
        </w:rPr>
        <w:t>(X2) secara </w:t>
      </w:r>
      <w:r>
        <w:rPr>
          <w:i/>
          <w:sz w:val="20"/>
        </w:rPr>
        <w:t>simultan </w:t>
      </w:r>
      <w:r>
        <w:rPr>
          <w:sz w:val="20"/>
        </w:rPr>
        <w:t>berpengaruh signifikan terhadap Harga Saham pada perusahaan </w:t>
      </w:r>
      <w:r>
        <w:rPr>
          <w:spacing w:val="-3"/>
          <w:sz w:val="20"/>
        </w:rPr>
        <w:t>sub </w:t>
      </w:r>
      <w:r>
        <w:rPr>
          <w:sz w:val="20"/>
        </w:rPr>
        <w:t>sektor </w:t>
      </w:r>
      <w:r>
        <w:rPr>
          <w:spacing w:val="-3"/>
          <w:sz w:val="20"/>
        </w:rPr>
        <w:t>Semen </w:t>
      </w:r>
      <w:r>
        <w:rPr>
          <w:sz w:val="20"/>
        </w:rPr>
        <w:t>yang terdaftar di Bursa Efek Indonesia sebesar 0,001. </w:t>
      </w:r>
      <w:r>
        <w:rPr>
          <w:i/>
          <w:sz w:val="20"/>
        </w:rPr>
        <w:t>Return On Assets </w:t>
      </w:r>
      <w:r>
        <w:rPr>
          <w:sz w:val="20"/>
        </w:rPr>
        <w:t>(X1) secara </w:t>
      </w:r>
      <w:r>
        <w:rPr>
          <w:i/>
          <w:sz w:val="20"/>
        </w:rPr>
        <w:t>parsial </w:t>
      </w:r>
      <w:r>
        <w:rPr>
          <w:sz w:val="20"/>
        </w:rPr>
        <w:t>tidak berpengaruh signifikan terhadap </w:t>
      </w:r>
      <w:r>
        <w:rPr>
          <w:spacing w:val="-3"/>
          <w:sz w:val="20"/>
        </w:rPr>
        <w:t>Harga </w:t>
      </w:r>
      <w:r>
        <w:rPr>
          <w:sz w:val="20"/>
        </w:rPr>
        <w:t>Saham sebesar 3,012. </w:t>
      </w:r>
      <w:r>
        <w:rPr>
          <w:i/>
          <w:sz w:val="20"/>
        </w:rPr>
        <w:t>Return On Equity </w:t>
      </w:r>
      <w:r>
        <w:rPr>
          <w:sz w:val="20"/>
        </w:rPr>
        <w:t>(X2) secara </w:t>
      </w:r>
      <w:r>
        <w:rPr>
          <w:i/>
          <w:sz w:val="20"/>
        </w:rPr>
        <w:t>parsial </w:t>
      </w:r>
      <w:r>
        <w:rPr>
          <w:sz w:val="20"/>
        </w:rPr>
        <w:t>tidak berpengaruh signifikan terhadap Harga Saham sebesar</w:t>
      </w:r>
      <w:r>
        <w:rPr>
          <w:spacing w:val="7"/>
          <w:sz w:val="20"/>
        </w:rPr>
        <w:t> </w:t>
      </w:r>
      <w:r>
        <w:rPr>
          <w:sz w:val="20"/>
        </w:rPr>
        <w:t>-1,664.</w:t>
      </w:r>
    </w:p>
    <w:p>
      <w:pPr>
        <w:pStyle w:val="BodyText"/>
        <w:spacing w:before="5"/>
        <w:rPr>
          <w:sz w:val="27"/>
        </w:rPr>
      </w:pPr>
    </w:p>
    <w:p>
      <w:pPr>
        <w:spacing w:before="1"/>
        <w:ind w:left="639" w:right="0" w:firstLine="0"/>
        <w:jc w:val="left"/>
        <w:rPr>
          <w:sz w:val="20"/>
        </w:rPr>
      </w:pPr>
      <w:r>
        <w:rPr>
          <w:b/>
          <w:sz w:val="20"/>
        </w:rPr>
        <w:t>Kata kunci</w:t>
      </w:r>
      <w:r>
        <w:rPr>
          <w:sz w:val="20"/>
        </w:rPr>
        <w:t>: </w:t>
      </w:r>
      <w:r>
        <w:rPr>
          <w:i/>
          <w:sz w:val="20"/>
        </w:rPr>
        <w:t>Return On Assets</w:t>
      </w:r>
      <w:r>
        <w:rPr>
          <w:sz w:val="20"/>
        </w:rPr>
        <w:t>, </w:t>
      </w:r>
      <w:r>
        <w:rPr>
          <w:i/>
          <w:sz w:val="20"/>
        </w:rPr>
        <w:t>Return On Equity</w:t>
      </w:r>
      <w:r>
        <w:rPr>
          <w:sz w:val="20"/>
        </w:rPr>
        <w:t>, dan Harga Saham</w:t>
      </w:r>
    </w:p>
    <w:p>
      <w:pPr>
        <w:spacing w:after="0"/>
        <w:jc w:val="left"/>
        <w:rPr>
          <w:sz w:val="20"/>
        </w:rPr>
        <w:sectPr>
          <w:pgSz w:w="11910" w:h="16840"/>
          <w:pgMar w:header="0" w:footer="918" w:top="1580" w:bottom="1100" w:left="1680" w:right="900"/>
        </w:sectPr>
      </w:pPr>
    </w:p>
    <w:p>
      <w:pPr>
        <w:pStyle w:val="BodyText"/>
        <w:rPr>
          <w:sz w:val="20"/>
        </w:rPr>
      </w:pPr>
    </w:p>
    <w:p>
      <w:pPr>
        <w:pStyle w:val="BodyText"/>
        <w:rPr>
          <w:sz w:val="20"/>
        </w:rPr>
      </w:pPr>
    </w:p>
    <w:p>
      <w:pPr>
        <w:pStyle w:val="BodyText"/>
        <w:spacing w:before="1"/>
        <w:rPr>
          <w:sz w:val="18"/>
        </w:rPr>
      </w:pPr>
    </w:p>
    <w:p>
      <w:pPr>
        <w:spacing w:before="0"/>
        <w:ind w:left="802" w:right="1009" w:firstLine="0"/>
        <w:jc w:val="center"/>
        <w:rPr>
          <w:b/>
          <w:sz w:val="20"/>
        </w:rPr>
      </w:pPr>
      <w:r>
        <w:rPr>
          <w:b/>
          <w:sz w:val="20"/>
        </w:rPr>
        <w:t>ABSTRACT</w:t>
      </w:r>
    </w:p>
    <w:p>
      <w:pPr>
        <w:pStyle w:val="BodyText"/>
        <w:spacing w:before="8"/>
        <w:rPr>
          <w:b/>
          <w:sz w:val="19"/>
        </w:rPr>
      </w:pPr>
    </w:p>
    <w:p>
      <w:pPr>
        <w:spacing w:before="0"/>
        <w:ind w:left="586" w:right="796" w:firstLine="0"/>
        <w:jc w:val="both"/>
        <w:rPr>
          <w:sz w:val="20"/>
        </w:rPr>
      </w:pPr>
      <w:r>
        <w:rPr>
          <w:sz w:val="20"/>
        </w:rPr>
        <w:t>This study aims to determine and analyze how much influence Return </w:t>
      </w:r>
      <w:r>
        <w:rPr>
          <w:spacing w:val="-4"/>
          <w:sz w:val="20"/>
        </w:rPr>
        <w:t>On </w:t>
      </w:r>
      <w:r>
        <w:rPr>
          <w:sz w:val="20"/>
        </w:rPr>
        <w:t>Assets (X1) and </w:t>
      </w:r>
      <w:r>
        <w:rPr>
          <w:spacing w:val="-2"/>
          <w:sz w:val="20"/>
        </w:rPr>
        <w:t>Return </w:t>
      </w:r>
      <w:r>
        <w:rPr>
          <w:sz w:val="20"/>
        </w:rPr>
        <w:t>On Equity (X2) </w:t>
      </w:r>
      <w:r>
        <w:rPr>
          <w:spacing w:val="-3"/>
          <w:sz w:val="20"/>
        </w:rPr>
        <w:t>both </w:t>
      </w:r>
      <w:r>
        <w:rPr>
          <w:sz w:val="20"/>
        </w:rPr>
        <w:t>simultaneously and partially </w:t>
      </w:r>
      <w:r>
        <w:rPr>
          <w:spacing w:val="-3"/>
          <w:sz w:val="20"/>
        </w:rPr>
        <w:t>on </w:t>
      </w:r>
      <w:r>
        <w:rPr>
          <w:sz w:val="20"/>
        </w:rPr>
        <w:t>stock prices. This research is a quantitative study, using ratio analysis. The analysis method uses multiple linear regression. The  results </w:t>
      </w:r>
      <w:r>
        <w:rPr>
          <w:spacing w:val="-3"/>
          <w:sz w:val="20"/>
        </w:rPr>
        <w:t>showed </w:t>
      </w:r>
      <w:r>
        <w:rPr>
          <w:sz w:val="20"/>
        </w:rPr>
        <w:t>that the Return </w:t>
      </w:r>
      <w:r>
        <w:rPr>
          <w:spacing w:val="-4"/>
          <w:sz w:val="20"/>
        </w:rPr>
        <w:t>On </w:t>
      </w:r>
      <w:r>
        <w:rPr>
          <w:sz w:val="20"/>
        </w:rPr>
        <w:t>Assets (X1) and Return </w:t>
      </w:r>
      <w:r>
        <w:rPr>
          <w:spacing w:val="-4"/>
          <w:sz w:val="20"/>
        </w:rPr>
        <w:t>On </w:t>
      </w:r>
      <w:r>
        <w:rPr>
          <w:sz w:val="20"/>
        </w:rPr>
        <w:t>Equity (X2) simultaneously had a significant effect </w:t>
      </w:r>
      <w:r>
        <w:rPr>
          <w:spacing w:val="-3"/>
          <w:sz w:val="20"/>
        </w:rPr>
        <w:t>on </w:t>
      </w:r>
      <w:r>
        <w:rPr>
          <w:sz w:val="20"/>
        </w:rPr>
        <w:t>the stock price </w:t>
      </w:r>
      <w:r>
        <w:rPr>
          <w:spacing w:val="-3"/>
          <w:sz w:val="20"/>
        </w:rPr>
        <w:t>of </w:t>
      </w:r>
      <w:r>
        <w:rPr>
          <w:sz w:val="20"/>
        </w:rPr>
        <w:t>the cement sub-sector companies listed </w:t>
      </w:r>
      <w:r>
        <w:rPr>
          <w:spacing w:val="-3"/>
          <w:sz w:val="20"/>
        </w:rPr>
        <w:t>on </w:t>
      </w:r>
      <w:r>
        <w:rPr>
          <w:sz w:val="20"/>
        </w:rPr>
        <w:t>the Indonesia Stock Exchange </w:t>
      </w:r>
      <w:r>
        <w:rPr>
          <w:spacing w:val="-3"/>
          <w:sz w:val="20"/>
        </w:rPr>
        <w:t>of </w:t>
      </w:r>
      <w:r>
        <w:rPr>
          <w:sz w:val="20"/>
        </w:rPr>
        <w:t>0.001. Partially, Return </w:t>
      </w:r>
      <w:r>
        <w:rPr>
          <w:spacing w:val="-4"/>
          <w:sz w:val="20"/>
        </w:rPr>
        <w:t>On </w:t>
      </w:r>
      <w:r>
        <w:rPr>
          <w:sz w:val="20"/>
        </w:rPr>
        <w:t>Assets (X1) has no significant effect </w:t>
      </w:r>
      <w:r>
        <w:rPr>
          <w:spacing w:val="-3"/>
          <w:sz w:val="20"/>
        </w:rPr>
        <w:t>on </w:t>
      </w:r>
      <w:r>
        <w:rPr>
          <w:sz w:val="20"/>
        </w:rPr>
        <w:t>the Stock Price </w:t>
      </w:r>
      <w:r>
        <w:rPr>
          <w:spacing w:val="-3"/>
          <w:sz w:val="20"/>
        </w:rPr>
        <w:t>of </w:t>
      </w:r>
      <w:r>
        <w:rPr>
          <w:sz w:val="20"/>
        </w:rPr>
        <w:t>3.012. Partially, Return </w:t>
      </w:r>
      <w:r>
        <w:rPr>
          <w:spacing w:val="-4"/>
          <w:sz w:val="20"/>
        </w:rPr>
        <w:t>On </w:t>
      </w:r>
      <w:r>
        <w:rPr>
          <w:sz w:val="20"/>
        </w:rPr>
        <w:t>Equity (X2) has no significant </w:t>
      </w:r>
      <w:r>
        <w:rPr>
          <w:spacing w:val="-3"/>
          <w:sz w:val="20"/>
        </w:rPr>
        <w:t>effect on </w:t>
      </w:r>
      <w:r>
        <w:rPr>
          <w:sz w:val="20"/>
        </w:rPr>
        <w:t>the Stock Price </w:t>
      </w:r>
      <w:r>
        <w:rPr>
          <w:spacing w:val="-3"/>
          <w:sz w:val="20"/>
        </w:rPr>
        <w:t>of </w:t>
      </w:r>
      <w:r>
        <w:rPr>
          <w:sz w:val="20"/>
        </w:rPr>
        <w:t>- 1,664.</w:t>
      </w:r>
    </w:p>
    <w:p>
      <w:pPr>
        <w:pStyle w:val="BodyText"/>
        <w:spacing w:before="11"/>
        <w:rPr>
          <w:sz w:val="19"/>
        </w:rPr>
      </w:pPr>
    </w:p>
    <w:p>
      <w:pPr>
        <w:spacing w:before="0"/>
        <w:ind w:left="639" w:right="0" w:firstLine="0"/>
        <w:jc w:val="both"/>
        <w:rPr>
          <w:sz w:val="20"/>
        </w:rPr>
      </w:pPr>
      <w:r>
        <w:rPr>
          <w:sz w:val="20"/>
        </w:rPr>
        <w:t>Keywords: Return On Assets, Return On Equity, and Stock Prices</w:t>
      </w:r>
    </w:p>
    <w:p>
      <w:pPr>
        <w:spacing w:after="0"/>
        <w:jc w:val="both"/>
        <w:rPr>
          <w:sz w:val="20"/>
        </w:rPr>
        <w:sectPr>
          <w:pgSz w:w="11910" w:h="16840"/>
          <w:pgMar w:header="0" w:footer="918" w:top="1580" w:bottom="1180" w:left="1680" w:right="900"/>
        </w:sectPr>
      </w:pPr>
    </w:p>
    <w:p>
      <w:pPr>
        <w:pStyle w:val="BodyText"/>
        <w:rPr>
          <w:sz w:val="20"/>
        </w:rPr>
      </w:pPr>
    </w:p>
    <w:p>
      <w:pPr>
        <w:pStyle w:val="BodyText"/>
        <w:rPr>
          <w:sz w:val="20"/>
        </w:rPr>
      </w:pPr>
    </w:p>
    <w:p>
      <w:pPr>
        <w:pStyle w:val="Heading3"/>
        <w:spacing w:before="205"/>
        <w:ind w:left="802" w:right="1014" w:firstLine="0"/>
        <w:jc w:val="center"/>
      </w:pPr>
      <w:bookmarkStart w:name="_TOC_250020" w:id="2"/>
      <w:bookmarkEnd w:id="2"/>
      <w:r>
        <w:rPr/>
        <w:t>KATA PENGANTAR</w:t>
      </w:r>
    </w:p>
    <w:p>
      <w:pPr>
        <w:pStyle w:val="BodyText"/>
        <w:rPr>
          <w:b/>
          <w:sz w:val="21"/>
        </w:rPr>
      </w:pPr>
      <w:r>
        <w:rPr/>
        <w:drawing>
          <wp:anchor distT="0" distB="0" distL="0" distR="0" allowOverlap="1" layoutInCell="1" locked="0" behindDoc="0" simplePos="0" relativeHeight="1">
            <wp:simplePos x="0" y="0"/>
            <wp:positionH relativeFrom="page">
              <wp:posOffset>3273425</wp:posOffset>
            </wp:positionH>
            <wp:positionV relativeFrom="paragraph">
              <wp:posOffset>178220</wp:posOffset>
            </wp:positionV>
            <wp:extent cx="1373478" cy="297179"/>
            <wp:effectExtent l="0" t="0" r="0" b="0"/>
            <wp:wrapTopAndBottom/>
            <wp:docPr id="9" name="image5.jpeg" descr="BASMALA2"/>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373478" cy="297179"/>
                    </a:xfrm>
                    <a:prstGeom prst="rect">
                      <a:avLst/>
                    </a:prstGeom>
                  </pic:spPr>
                </pic:pic>
              </a:graphicData>
            </a:graphic>
          </wp:anchor>
        </w:drawing>
      </w:r>
    </w:p>
    <w:p>
      <w:pPr>
        <w:pStyle w:val="BodyText"/>
        <w:spacing w:before="5"/>
        <w:rPr>
          <w:b/>
          <w:sz w:val="21"/>
        </w:rPr>
      </w:pPr>
    </w:p>
    <w:p>
      <w:pPr>
        <w:pStyle w:val="BodyText"/>
        <w:ind w:left="802" w:right="1014"/>
        <w:jc w:val="center"/>
      </w:pPr>
      <w:r>
        <w:rPr/>
        <w:t>Assalamu Alaikum Warahmatullahi Wabarakatuh</w:t>
      </w:r>
    </w:p>
    <w:p>
      <w:pPr>
        <w:pStyle w:val="BodyText"/>
        <w:spacing w:before="1"/>
      </w:pPr>
    </w:p>
    <w:p>
      <w:pPr>
        <w:pStyle w:val="BodyText"/>
        <w:spacing w:line="480" w:lineRule="auto"/>
        <w:ind w:left="586" w:right="792" w:firstLine="566"/>
        <w:jc w:val="both"/>
      </w:pPr>
      <w:r>
        <w:rPr/>
        <w:t>Puji syukur penulis panjatkan kepada Tuhan Yang Maha Esa, karena atas berkat dan rahmatnya penulis dapat menyelesaikan Skripsi ini dengan judul, “Pengaruh </w:t>
      </w:r>
      <w:r>
        <w:rPr>
          <w:i/>
        </w:rPr>
        <w:t>Return On Asset </w:t>
      </w:r>
      <w:r>
        <w:rPr/>
        <w:t>Dan </w:t>
      </w:r>
      <w:r>
        <w:rPr>
          <w:i/>
        </w:rPr>
        <w:t>Return On Equity </w:t>
      </w:r>
      <w:r>
        <w:rPr/>
        <w:t>Terhadap Harga Saham Perusahaan Sub Sektor Semen Yang Terdaftar Di Bursa Efek Indonesia”. sesuai dengan yang direncanakan. Skripsi ini dibuat untuk memenuhi salah satu syarat untuk mengikuti ujian guna mendapatkan gelar Sarjana Manjemen. Penulis menyadari bahwa tanpa bantuan dan bimbingan dari berbagai pihak, Skripsi ini tidak dapat penulis selesaikan. Oleh karena itu penulis menyampaikan terimakasih kepada:</w:t>
      </w:r>
    </w:p>
    <w:p>
      <w:pPr>
        <w:pStyle w:val="BodyText"/>
        <w:spacing w:line="480" w:lineRule="auto" w:before="2"/>
        <w:ind w:left="586" w:right="795" w:firstLine="566"/>
        <w:jc w:val="both"/>
      </w:pPr>
      <w:r>
        <w:rPr/>
        <w:t>Ucapan terima kasih kepada kedua orang tua dan keluarga yang selalu memberi dukungan moril serta dorongan agar dapat menyelesaikan skripsi ini. Bapak Muhammad Ichsan Gaffar, SE. M.AK, selaku Ketua Yayasan Pengembangan Ilmu Pengetahuan dan Teknologi (YPIPT) Ichsan Gorontalo. Bapak Dr. Abdul Gafar La Tjokke, M.Si, selaku Rektor Universitas Ichsan Gorontalo. Bapak Dr. Ariawan, SE.,S.Psi., MM, selaku Dekan Fakultas Ekonomi. Sekaligus Pembimbing I, yang telah membimbing penulis selama mengerjakan skripsi ini. Ibu Eka Zahra Solikahan,SE.,MM, selaku Ketua Jurusan Manajemen Fakultas Ekonomi. Ibu Hasmirati, S.Kom., MM, selaku Pembibing II, yang telah membimbing penulis selama mengerjakan Skripsi ini. Bapak dan Ibu Dosen yang</w:t>
      </w:r>
    </w:p>
    <w:p>
      <w:pPr>
        <w:spacing w:after="0" w:line="480" w:lineRule="auto"/>
        <w:jc w:val="both"/>
        <w:sectPr>
          <w:pgSz w:w="11910" w:h="16840"/>
          <w:pgMar w:header="0" w:footer="918" w:top="1580" w:bottom="1180" w:left="1680" w:right="900"/>
        </w:sectPr>
      </w:pPr>
    </w:p>
    <w:p>
      <w:pPr>
        <w:pStyle w:val="BodyText"/>
        <w:rPr>
          <w:sz w:val="20"/>
        </w:rPr>
      </w:pPr>
    </w:p>
    <w:p>
      <w:pPr>
        <w:pStyle w:val="BodyText"/>
        <w:rPr>
          <w:sz w:val="20"/>
        </w:rPr>
      </w:pPr>
    </w:p>
    <w:p>
      <w:pPr>
        <w:pStyle w:val="BodyText"/>
        <w:spacing w:line="480" w:lineRule="auto" w:before="205"/>
        <w:ind w:left="586" w:right="804"/>
        <w:jc w:val="both"/>
      </w:pPr>
      <w:r>
        <w:rPr/>
        <w:t>telah mendidik dan membimbing penulis dalam mengerjakan skripsi ini. Serta semua yang telah membantu penulis dalam penyelesaian skripsi ini.</w:t>
      </w:r>
    </w:p>
    <w:p>
      <w:pPr>
        <w:pStyle w:val="BodyText"/>
        <w:spacing w:line="480" w:lineRule="auto"/>
        <w:ind w:left="586" w:right="806" w:firstLine="720"/>
        <w:jc w:val="both"/>
      </w:pPr>
      <w:r>
        <w:rPr/>
        <w:t>Saran dan kritik, penulis harapkan dari dewan penguji dan semua pihak untuk penyempurnaan penulisan skripsi lebih lanjut. Semoga skripsi ini dapat bermanfaat bagi semua pihak yang berkepentingan.</w:t>
      </w:r>
    </w:p>
    <w:p>
      <w:pPr>
        <w:pStyle w:val="BodyText"/>
        <w:rPr>
          <w:sz w:val="26"/>
        </w:rPr>
      </w:pPr>
    </w:p>
    <w:p>
      <w:pPr>
        <w:pStyle w:val="BodyText"/>
        <w:rPr>
          <w:sz w:val="26"/>
        </w:rPr>
      </w:pPr>
    </w:p>
    <w:p>
      <w:pPr>
        <w:pStyle w:val="BodyText"/>
        <w:rPr>
          <w:sz w:val="26"/>
        </w:rPr>
      </w:pPr>
    </w:p>
    <w:p>
      <w:pPr>
        <w:pStyle w:val="BodyText"/>
        <w:spacing w:before="11"/>
        <w:rPr>
          <w:sz w:val="38"/>
        </w:rPr>
      </w:pPr>
    </w:p>
    <w:p>
      <w:pPr>
        <w:pStyle w:val="BodyText"/>
        <w:tabs>
          <w:tab w:pos="7864" w:val="right" w:leader="dot"/>
        </w:tabs>
        <w:ind w:left="4907"/>
      </w:pPr>
      <w:r>
        <w:rPr/>
        <w:t>Gorontalo</w:t>
        <w:tab/>
        <w:t>2020</w:t>
      </w:r>
    </w:p>
    <w:p>
      <w:pPr>
        <w:pStyle w:val="BodyText"/>
        <w:rPr>
          <w:sz w:val="26"/>
        </w:rPr>
      </w:pPr>
    </w:p>
    <w:p>
      <w:pPr>
        <w:pStyle w:val="BodyText"/>
        <w:rPr>
          <w:sz w:val="26"/>
        </w:rPr>
      </w:pPr>
    </w:p>
    <w:p>
      <w:pPr>
        <w:pStyle w:val="BodyText"/>
        <w:spacing w:before="6"/>
        <w:rPr>
          <w:sz w:val="37"/>
        </w:rPr>
      </w:pPr>
    </w:p>
    <w:p>
      <w:pPr>
        <w:pStyle w:val="BodyText"/>
        <w:spacing w:before="1"/>
        <w:ind w:right="2271"/>
        <w:jc w:val="right"/>
      </w:pPr>
      <w:r>
        <w:rPr/>
        <w:t>Penulis</w:t>
      </w:r>
    </w:p>
    <w:p>
      <w:pPr>
        <w:spacing w:after="0"/>
        <w:jc w:val="right"/>
        <w:sectPr>
          <w:pgSz w:w="11910" w:h="16840"/>
          <w:pgMar w:header="0" w:footer="918" w:top="1580" w:bottom="1180" w:left="1680" w:right="900"/>
        </w:sectPr>
      </w:pPr>
    </w:p>
    <w:p>
      <w:pPr>
        <w:pStyle w:val="BodyText"/>
        <w:rPr>
          <w:sz w:val="20"/>
        </w:rPr>
      </w:pPr>
    </w:p>
    <w:p>
      <w:pPr>
        <w:pStyle w:val="BodyText"/>
        <w:rPr>
          <w:sz w:val="20"/>
        </w:rPr>
      </w:pPr>
    </w:p>
    <w:p>
      <w:pPr>
        <w:spacing w:after="0"/>
        <w:rPr>
          <w:sz w:val="20"/>
        </w:rPr>
        <w:sectPr>
          <w:pgSz w:w="11910" w:h="16840"/>
          <w:pgMar w:header="0" w:footer="918" w:top="1580" w:bottom="1180" w:left="1680" w:right="900"/>
        </w:sectPr>
      </w:pPr>
    </w:p>
    <w:p>
      <w:pPr>
        <w:pStyle w:val="Heading2"/>
        <w:spacing w:before="206"/>
        <w:ind w:left="0" w:right="0"/>
        <w:jc w:val="right"/>
      </w:pPr>
      <w:bookmarkStart w:name="_TOC_250019" w:id="3"/>
      <w:bookmarkEnd w:id="3"/>
      <w:r>
        <w:rPr/>
        <w:t>DAFTAR ISI</w:t>
      </w:r>
    </w:p>
    <w:p>
      <w:pPr>
        <w:pStyle w:val="BodyText"/>
        <w:rPr>
          <w:b/>
          <w:sz w:val="26"/>
        </w:rPr>
      </w:pPr>
      <w:r>
        <w:rPr/>
        <w:br w:type="column"/>
      </w:r>
      <w:r>
        <w:rPr>
          <w:b/>
          <w:sz w:val="26"/>
        </w:rPr>
      </w:r>
    </w:p>
    <w:p>
      <w:pPr>
        <w:pStyle w:val="BodyText"/>
        <w:spacing w:before="227"/>
        <w:ind w:left="2264"/>
      </w:pPr>
      <w:r>
        <w:rPr/>
        <w:t>Halaman</w:t>
      </w:r>
    </w:p>
    <w:p>
      <w:pPr>
        <w:spacing w:after="0"/>
        <w:sectPr>
          <w:type w:val="continuous"/>
          <w:pgSz w:w="11910" w:h="16840"/>
          <w:pgMar w:top="1580" w:bottom="280" w:left="1680" w:right="900"/>
          <w:cols w:num="2" w:equalWidth="0">
            <w:col w:w="5360" w:space="40"/>
            <w:col w:w="3930"/>
          </w:cols>
        </w:sectPr>
      </w:pPr>
    </w:p>
    <w:p>
      <w:pPr>
        <w:pStyle w:val="BodyText"/>
        <w:spacing w:before="2"/>
        <w:rPr>
          <w:sz w:val="16"/>
        </w:rPr>
      </w:pPr>
    </w:p>
    <w:p>
      <w:pPr>
        <w:pStyle w:val="BodyText"/>
        <w:tabs>
          <w:tab w:pos="8311" w:val="right" w:leader="dot"/>
        </w:tabs>
        <w:spacing w:before="90"/>
        <w:ind w:left="586"/>
      </w:pPr>
      <w:r>
        <w:rPr/>
        <w:t>HALAMAN SAMPUL</w:t>
        <w:tab/>
        <w:t>i</w:t>
      </w:r>
    </w:p>
    <w:p>
      <w:pPr>
        <w:pStyle w:val="BodyText"/>
        <w:tabs>
          <w:tab w:pos="8311" w:val="right" w:leader="dot"/>
        </w:tabs>
        <w:spacing w:before="137"/>
        <w:ind w:left="586"/>
      </w:pPr>
      <w:r>
        <w:rPr/>
        <w:t>HALAMAN JUDUL</w:t>
        <w:tab/>
        <w:t>i</w:t>
      </w:r>
    </w:p>
    <w:p>
      <w:pPr>
        <w:pStyle w:val="BodyText"/>
        <w:tabs>
          <w:tab w:pos="8379" w:val="right" w:leader="dot"/>
        </w:tabs>
        <w:spacing w:before="137"/>
        <w:ind w:left="586"/>
      </w:pPr>
      <w:r>
        <w:rPr/>
        <w:t>HALAMAN</w:t>
      </w:r>
      <w:r>
        <w:rPr>
          <w:spacing w:val="1"/>
        </w:rPr>
        <w:t> </w:t>
      </w:r>
      <w:r>
        <w:rPr/>
        <w:t>PENGESAHAN.</w:t>
        <w:tab/>
        <w:t>ii</w:t>
      </w:r>
    </w:p>
    <w:p>
      <w:pPr>
        <w:pStyle w:val="BodyText"/>
        <w:tabs>
          <w:tab w:pos="8446" w:val="right" w:leader="dot"/>
        </w:tabs>
        <w:spacing w:before="137"/>
        <w:ind w:left="586"/>
      </w:pPr>
      <w:r>
        <w:rPr/>
        <w:t>HALAMAN PERSETUJUAN</w:t>
        <w:tab/>
        <w:t>iii</w:t>
      </w:r>
    </w:p>
    <w:p>
      <w:pPr>
        <w:pStyle w:val="BodyText"/>
        <w:tabs>
          <w:tab w:pos="8423" w:val="right" w:leader="dot"/>
        </w:tabs>
        <w:spacing w:before="142"/>
        <w:ind w:left="586"/>
      </w:pPr>
      <w:r>
        <w:rPr/>
        <w:t>PERNYATAAN</w:t>
        <w:tab/>
      </w:r>
      <w:r>
        <w:rPr>
          <w:spacing w:val="-5"/>
        </w:rPr>
        <w:t>iv</w:t>
      </w:r>
    </w:p>
    <w:p>
      <w:pPr>
        <w:pStyle w:val="BodyText"/>
        <w:tabs>
          <w:tab w:pos="8365" w:val="right" w:leader="dot"/>
        </w:tabs>
        <w:spacing w:before="137"/>
        <w:ind w:left="586"/>
      </w:pPr>
      <w:r>
        <w:rPr/>
        <w:t>ABSTRAK</w:t>
        <w:tab/>
        <w:t>v</w:t>
      </w:r>
    </w:p>
    <w:p>
      <w:pPr>
        <w:pStyle w:val="BodyText"/>
        <w:tabs>
          <w:tab w:pos="8417" w:val="right" w:leader="dot"/>
        </w:tabs>
        <w:spacing w:before="137"/>
        <w:ind w:left="586"/>
      </w:pPr>
      <w:r>
        <w:rPr/>
        <w:t>KATA</w:t>
      </w:r>
      <w:r>
        <w:rPr>
          <w:spacing w:val="-5"/>
        </w:rPr>
        <w:t> </w:t>
      </w:r>
      <w:r>
        <w:rPr/>
        <w:t>PENGANTAR</w:t>
        <w:tab/>
        <w:t>vii</w:t>
      </w:r>
    </w:p>
    <w:p>
      <w:pPr>
        <w:pStyle w:val="BodyText"/>
        <w:tabs>
          <w:tab w:pos="8427" w:val="right" w:leader="dot"/>
        </w:tabs>
        <w:spacing w:before="137"/>
        <w:ind w:left="586"/>
      </w:pPr>
      <w:r>
        <w:rPr/>
        <w:t>DAFTAR</w:t>
      </w:r>
      <w:r>
        <w:rPr>
          <w:spacing w:val="-1"/>
        </w:rPr>
        <w:t> </w:t>
      </w:r>
      <w:r>
        <w:rPr/>
        <w:t>ISI</w:t>
        <w:tab/>
      </w:r>
      <w:r>
        <w:rPr>
          <w:spacing w:val="-3"/>
        </w:rPr>
        <w:t>ix</w:t>
      </w:r>
    </w:p>
    <w:p>
      <w:pPr>
        <w:pStyle w:val="BodyText"/>
        <w:tabs>
          <w:tab w:pos="8431" w:val="right" w:leader="dot"/>
        </w:tabs>
        <w:spacing w:before="142"/>
        <w:ind w:left="586"/>
      </w:pPr>
      <w:r>
        <w:rPr/>
        <w:t>DAFTAR</w:t>
      </w:r>
      <w:r>
        <w:rPr>
          <w:spacing w:val="-1"/>
        </w:rPr>
        <w:t> </w:t>
      </w:r>
      <w:r>
        <w:rPr/>
        <w:t>GAMBAR</w:t>
        <w:tab/>
        <w:t>xi</w:t>
      </w:r>
    </w:p>
    <w:p>
      <w:pPr>
        <w:pStyle w:val="BodyText"/>
        <w:tabs>
          <w:tab w:pos="8499" w:val="right" w:leader="dot"/>
        </w:tabs>
        <w:spacing w:before="136"/>
        <w:ind w:left="586"/>
      </w:pPr>
      <w:r>
        <w:rPr/>
        <w:t>DAFTAR</w:t>
      </w:r>
      <w:r>
        <w:rPr>
          <w:spacing w:val="-1"/>
        </w:rPr>
        <w:t> </w:t>
      </w:r>
      <w:r>
        <w:rPr/>
        <w:t>TABEL</w:t>
        <w:tab/>
        <w:t>xii</w:t>
      </w:r>
    </w:p>
    <w:p>
      <w:pPr>
        <w:pStyle w:val="BodyText"/>
        <w:tabs>
          <w:tab w:pos="8479" w:val="right" w:leader="dot"/>
        </w:tabs>
        <w:spacing w:before="137"/>
        <w:ind w:left="586"/>
      </w:pPr>
      <w:r>
        <w:rPr/>
        <w:t>DAFTAR</w:t>
      </w:r>
      <w:r>
        <w:rPr>
          <w:spacing w:val="-1"/>
        </w:rPr>
        <w:t> </w:t>
      </w:r>
      <w:r>
        <w:rPr/>
        <w:t>LAMPIRAN</w:t>
        <w:tab/>
        <w:t>xiii</w:t>
      </w:r>
    </w:p>
    <w:p>
      <w:pPr>
        <w:pStyle w:val="Heading3"/>
        <w:tabs>
          <w:tab w:pos="8331" w:val="right" w:leader="dot"/>
        </w:tabs>
        <w:spacing w:before="550"/>
        <w:ind w:left="586" w:firstLine="0"/>
        <w:jc w:val="left"/>
        <w:rPr>
          <w:b w:val="0"/>
        </w:rPr>
      </w:pPr>
      <w:r>
        <w:rPr/>
        <w:t>BAB</w:t>
      </w:r>
      <w:r>
        <w:rPr>
          <w:spacing w:val="-1"/>
        </w:rPr>
        <w:t> </w:t>
      </w:r>
      <w:r>
        <w:rPr/>
        <w:t>I.  </w:t>
      </w:r>
      <w:r>
        <w:rPr>
          <w:spacing w:val="14"/>
        </w:rPr>
        <w:t> </w:t>
      </w:r>
      <w:r>
        <w:rPr/>
        <w:t>PENDAHULUAN</w:t>
        <w:tab/>
      </w:r>
      <w:r>
        <w:rPr>
          <w:b w:val="0"/>
        </w:rPr>
        <w:t>1</w:t>
      </w:r>
    </w:p>
    <w:p>
      <w:pPr>
        <w:pStyle w:val="ListParagraph"/>
        <w:numPr>
          <w:ilvl w:val="1"/>
          <w:numId w:val="1"/>
        </w:numPr>
        <w:tabs>
          <w:tab w:pos="1802" w:val="left" w:leader="none"/>
          <w:tab w:pos="8331" w:val="right" w:leader="dot"/>
        </w:tabs>
        <w:spacing w:line="240" w:lineRule="auto" w:before="142" w:after="0"/>
        <w:ind w:left="1801" w:right="0" w:hanging="366"/>
        <w:jc w:val="left"/>
        <w:rPr>
          <w:sz w:val="24"/>
        </w:rPr>
      </w:pPr>
      <w:r>
        <w:rPr>
          <w:sz w:val="24"/>
        </w:rPr>
        <w:t>Latar</w:t>
      </w:r>
      <w:r>
        <w:rPr>
          <w:spacing w:val="2"/>
          <w:sz w:val="24"/>
        </w:rPr>
        <w:t> </w:t>
      </w:r>
      <w:r>
        <w:rPr>
          <w:sz w:val="24"/>
        </w:rPr>
        <w:t>Belakang</w:t>
      </w:r>
      <w:r>
        <w:rPr>
          <w:spacing w:val="4"/>
          <w:sz w:val="24"/>
        </w:rPr>
        <w:t> </w:t>
      </w:r>
      <w:r>
        <w:rPr>
          <w:sz w:val="24"/>
        </w:rPr>
        <w:t>Penelitan</w:t>
        <w:tab/>
        <w:t>1</w:t>
      </w:r>
    </w:p>
    <w:p>
      <w:pPr>
        <w:pStyle w:val="ListParagraph"/>
        <w:numPr>
          <w:ilvl w:val="1"/>
          <w:numId w:val="1"/>
        </w:numPr>
        <w:tabs>
          <w:tab w:pos="1802" w:val="left" w:leader="none"/>
          <w:tab w:pos="8331" w:val="right" w:leader="dot"/>
        </w:tabs>
        <w:spacing w:line="240" w:lineRule="auto" w:before="137" w:after="0"/>
        <w:ind w:left="1801" w:right="0" w:hanging="366"/>
        <w:jc w:val="left"/>
        <w:rPr>
          <w:sz w:val="24"/>
        </w:rPr>
      </w:pPr>
      <w:r>
        <w:rPr>
          <w:sz w:val="24"/>
        </w:rPr>
        <w:t>Rumusan</w:t>
      </w:r>
      <w:r>
        <w:rPr>
          <w:spacing w:val="-4"/>
          <w:sz w:val="24"/>
        </w:rPr>
        <w:t> </w:t>
      </w:r>
      <w:r>
        <w:rPr>
          <w:sz w:val="24"/>
        </w:rPr>
        <w:t>Masalah</w:t>
        <w:tab/>
        <w:t>6</w:t>
      </w:r>
    </w:p>
    <w:p>
      <w:pPr>
        <w:pStyle w:val="ListParagraph"/>
        <w:numPr>
          <w:ilvl w:val="1"/>
          <w:numId w:val="1"/>
        </w:numPr>
        <w:tabs>
          <w:tab w:pos="1802" w:val="left" w:leader="none"/>
          <w:tab w:pos="8331" w:val="right" w:leader="dot"/>
        </w:tabs>
        <w:spacing w:line="240" w:lineRule="auto" w:before="137" w:after="0"/>
        <w:ind w:left="1801" w:right="0" w:hanging="366"/>
        <w:jc w:val="left"/>
        <w:rPr>
          <w:sz w:val="24"/>
        </w:rPr>
      </w:pPr>
      <w:r>
        <w:rPr>
          <w:sz w:val="24"/>
        </w:rPr>
        <w:t>Maksud dan</w:t>
      </w:r>
      <w:r>
        <w:rPr>
          <w:spacing w:val="-2"/>
          <w:sz w:val="24"/>
        </w:rPr>
        <w:t> </w:t>
      </w:r>
      <w:r>
        <w:rPr>
          <w:sz w:val="24"/>
        </w:rPr>
        <w:t>Tujuan</w:t>
      </w:r>
      <w:r>
        <w:rPr>
          <w:spacing w:val="-3"/>
          <w:sz w:val="24"/>
        </w:rPr>
        <w:t> </w:t>
      </w:r>
      <w:r>
        <w:rPr>
          <w:sz w:val="24"/>
        </w:rPr>
        <w:t>Penelitian</w:t>
        <w:tab/>
        <w:t>6</w:t>
      </w:r>
    </w:p>
    <w:p>
      <w:pPr>
        <w:pStyle w:val="ListParagraph"/>
        <w:numPr>
          <w:ilvl w:val="2"/>
          <w:numId w:val="1"/>
        </w:numPr>
        <w:tabs>
          <w:tab w:pos="2339" w:val="left" w:leader="none"/>
          <w:tab w:pos="8331" w:val="right" w:leader="dot"/>
        </w:tabs>
        <w:spacing w:line="240" w:lineRule="auto" w:before="137" w:after="0"/>
        <w:ind w:left="2338" w:right="0" w:hanging="538"/>
        <w:jc w:val="left"/>
        <w:rPr>
          <w:sz w:val="24"/>
        </w:rPr>
      </w:pPr>
      <w:r>
        <w:rPr>
          <w:sz w:val="24"/>
        </w:rPr>
        <w:t>Maksud</w:t>
      </w:r>
      <w:r>
        <w:rPr>
          <w:spacing w:val="1"/>
          <w:sz w:val="24"/>
        </w:rPr>
        <w:t> </w:t>
      </w:r>
      <w:r>
        <w:rPr>
          <w:sz w:val="24"/>
        </w:rPr>
        <w:t>Penelitian</w:t>
        <w:tab/>
        <w:t>6</w:t>
      </w:r>
    </w:p>
    <w:p>
      <w:pPr>
        <w:pStyle w:val="ListParagraph"/>
        <w:numPr>
          <w:ilvl w:val="2"/>
          <w:numId w:val="1"/>
        </w:numPr>
        <w:tabs>
          <w:tab w:pos="2334" w:val="left" w:leader="none"/>
          <w:tab w:pos="8331" w:val="right" w:leader="dot"/>
        </w:tabs>
        <w:spacing w:line="240" w:lineRule="auto" w:before="141" w:after="0"/>
        <w:ind w:left="2333" w:right="0" w:hanging="543"/>
        <w:jc w:val="left"/>
        <w:rPr>
          <w:sz w:val="24"/>
        </w:rPr>
      </w:pPr>
      <w:r>
        <w:rPr>
          <w:sz w:val="24"/>
        </w:rPr>
        <w:t>Tujuan</w:t>
      </w:r>
      <w:r>
        <w:rPr>
          <w:spacing w:val="-4"/>
          <w:sz w:val="24"/>
        </w:rPr>
        <w:t> </w:t>
      </w:r>
      <w:r>
        <w:rPr>
          <w:sz w:val="24"/>
        </w:rPr>
        <w:t>Penelitian</w:t>
        <w:tab/>
        <w:t>7</w:t>
      </w:r>
    </w:p>
    <w:p>
      <w:pPr>
        <w:pStyle w:val="ListParagraph"/>
        <w:numPr>
          <w:ilvl w:val="1"/>
          <w:numId w:val="1"/>
        </w:numPr>
        <w:tabs>
          <w:tab w:pos="1801" w:val="left" w:leader="none"/>
          <w:tab w:pos="8331" w:val="right" w:leader="dot"/>
        </w:tabs>
        <w:spacing w:line="240" w:lineRule="auto" w:before="137" w:after="0"/>
        <w:ind w:left="1800" w:right="0" w:hanging="365"/>
        <w:jc w:val="left"/>
        <w:rPr>
          <w:sz w:val="24"/>
        </w:rPr>
      </w:pPr>
      <w:r>
        <w:rPr>
          <w:sz w:val="24"/>
        </w:rPr>
        <w:t>Manfaat</w:t>
      </w:r>
      <w:r>
        <w:rPr>
          <w:spacing w:val="7"/>
          <w:sz w:val="24"/>
        </w:rPr>
        <w:t> </w:t>
      </w:r>
      <w:r>
        <w:rPr>
          <w:sz w:val="24"/>
        </w:rPr>
        <w:t>Penelitian</w:t>
        <w:tab/>
        <w:t>7</w:t>
      </w:r>
    </w:p>
    <w:p>
      <w:pPr>
        <w:pStyle w:val="Heading3"/>
        <w:tabs>
          <w:tab w:pos="8331" w:val="right" w:leader="dot"/>
        </w:tabs>
        <w:spacing w:before="550"/>
        <w:ind w:left="586" w:firstLine="0"/>
        <w:jc w:val="left"/>
        <w:rPr>
          <w:b w:val="0"/>
        </w:rPr>
      </w:pPr>
      <w:r>
        <w:rPr/>
        <w:t>BAB II.TINJAUAN PUSTAKA, DAN</w:t>
      </w:r>
      <w:r>
        <w:rPr>
          <w:spacing w:val="2"/>
        </w:rPr>
        <w:t> </w:t>
      </w:r>
      <w:r>
        <w:rPr/>
        <w:t>KERANGKA</w:t>
      </w:r>
      <w:r>
        <w:rPr>
          <w:spacing w:val="-5"/>
        </w:rPr>
        <w:t> </w:t>
      </w:r>
      <w:r>
        <w:rPr/>
        <w:t>PEMIKIRAN</w:t>
        <w:tab/>
      </w:r>
      <w:r>
        <w:rPr>
          <w:b w:val="0"/>
        </w:rPr>
        <w:t>8</w:t>
      </w:r>
    </w:p>
    <w:p>
      <w:pPr>
        <w:pStyle w:val="ListParagraph"/>
        <w:numPr>
          <w:ilvl w:val="1"/>
          <w:numId w:val="2"/>
        </w:numPr>
        <w:tabs>
          <w:tab w:pos="1912" w:val="left" w:leader="none"/>
          <w:tab w:pos="8331" w:val="right" w:leader="dot"/>
        </w:tabs>
        <w:spacing w:line="240" w:lineRule="auto" w:before="142" w:after="0"/>
        <w:ind w:left="1911" w:right="0" w:hanging="423"/>
        <w:jc w:val="left"/>
        <w:rPr>
          <w:sz w:val="24"/>
        </w:rPr>
      </w:pPr>
      <w:r>
        <w:rPr>
          <w:sz w:val="24"/>
        </w:rPr>
        <w:t>Kajian</w:t>
      </w:r>
      <w:r>
        <w:rPr>
          <w:spacing w:val="-4"/>
          <w:sz w:val="24"/>
        </w:rPr>
        <w:t> </w:t>
      </w:r>
      <w:r>
        <w:rPr>
          <w:sz w:val="24"/>
        </w:rPr>
        <w:t>Pustaka</w:t>
        <w:tab/>
        <w:t>8</w:t>
      </w:r>
    </w:p>
    <w:p>
      <w:pPr>
        <w:pStyle w:val="ListParagraph"/>
        <w:numPr>
          <w:ilvl w:val="2"/>
          <w:numId w:val="2"/>
        </w:numPr>
        <w:tabs>
          <w:tab w:pos="2407" w:val="left" w:leader="none"/>
          <w:tab w:pos="8331" w:val="right" w:leader="dot"/>
        </w:tabs>
        <w:spacing w:line="240" w:lineRule="auto" w:before="137" w:after="0"/>
        <w:ind w:left="2406" w:right="0" w:hanging="544"/>
        <w:jc w:val="left"/>
        <w:rPr>
          <w:sz w:val="24"/>
        </w:rPr>
      </w:pPr>
      <w:r>
        <w:rPr>
          <w:sz w:val="24"/>
        </w:rPr>
        <w:t>Pengertian</w:t>
      </w:r>
      <w:r>
        <w:rPr>
          <w:spacing w:val="-4"/>
          <w:sz w:val="24"/>
        </w:rPr>
        <w:t> </w:t>
      </w:r>
      <w:r>
        <w:rPr>
          <w:sz w:val="24"/>
        </w:rPr>
        <w:t>Profitabilitas</w:t>
        <w:tab/>
        <w:t>8</w:t>
      </w:r>
    </w:p>
    <w:p>
      <w:pPr>
        <w:pStyle w:val="ListParagraph"/>
        <w:numPr>
          <w:ilvl w:val="2"/>
          <w:numId w:val="2"/>
        </w:numPr>
        <w:tabs>
          <w:tab w:pos="2407" w:val="left" w:leader="none"/>
          <w:tab w:pos="8331" w:val="right" w:leader="dot"/>
        </w:tabs>
        <w:spacing w:line="240" w:lineRule="auto" w:before="137" w:after="0"/>
        <w:ind w:left="2406" w:right="0" w:hanging="544"/>
        <w:jc w:val="left"/>
        <w:rPr>
          <w:sz w:val="24"/>
        </w:rPr>
      </w:pPr>
      <w:r>
        <w:rPr>
          <w:sz w:val="24"/>
        </w:rPr>
        <w:t>Tujuan dan</w:t>
      </w:r>
      <w:r>
        <w:rPr>
          <w:spacing w:val="-7"/>
          <w:sz w:val="24"/>
        </w:rPr>
        <w:t> </w:t>
      </w:r>
      <w:r>
        <w:rPr>
          <w:sz w:val="24"/>
        </w:rPr>
        <w:t>Manfaat</w:t>
      </w:r>
      <w:r>
        <w:rPr>
          <w:spacing w:val="6"/>
          <w:sz w:val="24"/>
        </w:rPr>
        <w:t> </w:t>
      </w:r>
      <w:r>
        <w:rPr>
          <w:sz w:val="24"/>
        </w:rPr>
        <w:t>Profitabilitas</w:t>
        <w:tab/>
        <w:t>9</w:t>
      </w:r>
    </w:p>
    <w:p>
      <w:pPr>
        <w:pStyle w:val="ListParagraph"/>
        <w:numPr>
          <w:ilvl w:val="2"/>
          <w:numId w:val="2"/>
        </w:numPr>
        <w:tabs>
          <w:tab w:pos="2407" w:val="left" w:leader="none"/>
          <w:tab w:pos="8451" w:val="right" w:leader="dot"/>
        </w:tabs>
        <w:spacing w:line="240" w:lineRule="auto" w:before="137" w:after="0"/>
        <w:ind w:left="2406" w:right="0" w:hanging="544"/>
        <w:jc w:val="left"/>
        <w:rPr>
          <w:sz w:val="24"/>
        </w:rPr>
      </w:pPr>
      <w:r>
        <w:rPr>
          <w:sz w:val="24"/>
        </w:rPr>
        <w:t>Pengertian return</w:t>
      </w:r>
      <w:r>
        <w:rPr>
          <w:spacing w:val="-7"/>
          <w:sz w:val="24"/>
        </w:rPr>
        <w:t> </w:t>
      </w:r>
      <w:r>
        <w:rPr>
          <w:sz w:val="24"/>
        </w:rPr>
        <w:t>on</w:t>
      </w:r>
      <w:r>
        <w:rPr>
          <w:spacing w:val="-3"/>
          <w:sz w:val="24"/>
        </w:rPr>
        <w:t> </w:t>
      </w:r>
      <w:r>
        <w:rPr>
          <w:sz w:val="24"/>
        </w:rPr>
        <w:t>assets</w:t>
        <w:tab/>
        <w:t>10</w:t>
      </w:r>
    </w:p>
    <w:p>
      <w:pPr>
        <w:pStyle w:val="ListParagraph"/>
        <w:numPr>
          <w:ilvl w:val="2"/>
          <w:numId w:val="2"/>
        </w:numPr>
        <w:tabs>
          <w:tab w:pos="2407" w:val="left" w:leader="none"/>
          <w:tab w:pos="8451" w:val="right" w:leader="dot"/>
        </w:tabs>
        <w:spacing w:line="240" w:lineRule="auto" w:before="141" w:after="0"/>
        <w:ind w:left="2406" w:right="0" w:hanging="544"/>
        <w:jc w:val="left"/>
        <w:rPr>
          <w:sz w:val="24"/>
        </w:rPr>
      </w:pPr>
      <w:r>
        <w:rPr>
          <w:sz w:val="24"/>
        </w:rPr>
        <w:t>Pengertian return</w:t>
      </w:r>
      <w:r>
        <w:rPr>
          <w:spacing w:val="-6"/>
          <w:sz w:val="24"/>
        </w:rPr>
        <w:t> </w:t>
      </w:r>
      <w:r>
        <w:rPr>
          <w:sz w:val="24"/>
        </w:rPr>
        <w:t>on</w:t>
      </w:r>
      <w:r>
        <w:rPr>
          <w:spacing w:val="-3"/>
          <w:sz w:val="24"/>
        </w:rPr>
        <w:t> </w:t>
      </w:r>
      <w:r>
        <w:rPr>
          <w:sz w:val="24"/>
        </w:rPr>
        <w:t>equity</w:t>
        <w:tab/>
        <w:t>12</w:t>
      </w:r>
    </w:p>
    <w:p>
      <w:pPr>
        <w:pStyle w:val="ListParagraph"/>
        <w:numPr>
          <w:ilvl w:val="2"/>
          <w:numId w:val="2"/>
        </w:numPr>
        <w:tabs>
          <w:tab w:pos="2407" w:val="left" w:leader="none"/>
          <w:tab w:pos="8451" w:val="right" w:leader="dot"/>
        </w:tabs>
        <w:spacing w:line="240" w:lineRule="auto" w:before="137" w:after="0"/>
        <w:ind w:left="2406" w:right="0" w:hanging="544"/>
        <w:jc w:val="left"/>
        <w:rPr>
          <w:sz w:val="24"/>
        </w:rPr>
      </w:pPr>
      <w:r>
        <w:rPr>
          <w:sz w:val="24"/>
        </w:rPr>
        <w:t>Saham</w:t>
        <w:tab/>
        <w:t>13</w:t>
      </w:r>
    </w:p>
    <w:p>
      <w:pPr>
        <w:pStyle w:val="ListParagraph"/>
        <w:numPr>
          <w:ilvl w:val="2"/>
          <w:numId w:val="2"/>
        </w:numPr>
        <w:tabs>
          <w:tab w:pos="2406" w:val="left" w:leader="none"/>
          <w:tab w:pos="8451" w:val="right" w:leader="dot"/>
        </w:tabs>
        <w:spacing w:line="240" w:lineRule="auto" w:before="138" w:after="0"/>
        <w:ind w:left="2405" w:right="0" w:hanging="543"/>
        <w:jc w:val="left"/>
        <w:rPr>
          <w:sz w:val="24"/>
        </w:rPr>
      </w:pPr>
      <w:r>
        <w:rPr>
          <w:sz w:val="24"/>
        </w:rPr>
        <w:t>Jenis-jenis</w:t>
      </w:r>
      <w:r>
        <w:rPr>
          <w:spacing w:val="-1"/>
          <w:sz w:val="24"/>
        </w:rPr>
        <w:t> </w:t>
      </w:r>
      <w:r>
        <w:rPr>
          <w:sz w:val="24"/>
        </w:rPr>
        <w:t>Saham</w:t>
        <w:tab/>
        <w:t>14</w:t>
      </w:r>
    </w:p>
    <w:p>
      <w:pPr>
        <w:pStyle w:val="ListParagraph"/>
        <w:numPr>
          <w:ilvl w:val="2"/>
          <w:numId w:val="2"/>
        </w:numPr>
        <w:tabs>
          <w:tab w:pos="2407" w:val="left" w:leader="none"/>
          <w:tab w:pos="8451" w:val="right" w:leader="dot"/>
        </w:tabs>
        <w:spacing w:line="240" w:lineRule="auto" w:before="136" w:after="0"/>
        <w:ind w:left="2406" w:right="0" w:hanging="544"/>
        <w:jc w:val="left"/>
        <w:rPr>
          <w:sz w:val="24"/>
        </w:rPr>
      </w:pPr>
      <w:r>
        <w:rPr>
          <w:sz w:val="24"/>
        </w:rPr>
        <w:t>Harga saham</w:t>
        <w:tab/>
        <w:t>17</w:t>
      </w:r>
    </w:p>
    <w:p>
      <w:pPr>
        <w:spacing w:after="0" w:line="240" w:lineRule="auto"/>
        <w:jc w:val="left"/>
        <w:rPr>
          <w:sz w:val="24"/>
        </w:rPr>
        <w:sectPr>
          <w:type w:val="continuous"/>
          <w:pgSz w:w="11910" w:h="16840"/>
          <w:pgMar w:top="1580" w:bottom="280" w:left="1680" w:right="900"/>
        </w:sectPr>
      </w:pPr>
    </w:p>
    <w:sdt>
      <w:sdtPr>
        <w:docPartObj>
          <w:docPartGallery w:val="Table of Contents"/>
          <w:docPartUnique/>
        </w:docPartObj>
      </w:sdtPr>
      <w:sdtEndPr/>
      <w:sdtContent>
        <w:p>
          <w:pPr>
            <w:pStyle w:val="TOC5"/>
            <w:numPr>
              <w:ilvl w:val="2"/>
              <w:numId w:val="2"/>
            </w:numPr>
            <w:tabs>
              <w:tab w:pos="2407" w:val="left" w:leader="none"/>
              <w:tab w:pos="8451" w:val="right" w:leader="dot"/>
            </w:tabs>
            <w:spacing w:line="240" w:lineRule="auto" w:before="660" w:after="0"/>
            <w:ind w:left="2406" w:right="0" w:hanging="544"/>
            <w:jc w:val="left"/>
          </w:pPr>
          <w:r>
            <w:rPr/>
            <w:t>Faktor-faktor </w:t>
          </w:r>
          <w:r>
            <w:rPr>
              <w:spacing w:val="-3"/>
            </w:rPr>
            <w:t>yang </w:t>
          </w:r>
          <w:r>
            <w:rPr/>
            <w:t>mempengaruhi</w:t>
          </w:r>
          <w:r>
            <w:rPr>
              <w:spacing w:val="16"/>
            </w:rPr>
            <w:t> </w:t>
          </w:r>
          <w:r>
            <w:rPr/>
            <w:t>harga saham</w:t>
            <w:tab/>
            <w:t>19</w:t>
          </w:r>
        </w:p>
        <w:p>
          <w:pPr>
            <w:pStyle w:val="TOC5"/>
            <w:numPr>
              <w:ilvl w:val="2"/>
              <w:numId w:val="2"/>
            </w:numPr>
            <w:tabs>
              <w:tab w:pos="2407" w:val="left" w:leader="none"/>
              <w:tab w:pos="8451" w:val="right" w:leader="dot"/>
            </w:tabs>
            <w:spacing w:line="240" w:lineRule="auto" w:before="141" w:after="0"/>
            <w:ind w:left="2406" w:right="0" w:hanging="544"/>
            <w:jc w:val="left"/>
          </w:pPr>
          <w:r>
            <w:rPr/>
            <w:t>Hubungan</w:t>
          </w:r>
          <w:r>
            <w:rPr>
              <w:spacing w:val="-4"/>
            </w:rPr>
            <w:t> </w:t>
          </w:r>
          <w:r>
            <w:rPr/>
            <w:t>Antar</w:t>
          </w:r>
          <w:r>
            <w:rPr>
              <w:spacing w:val="3"/>
            </w:rPr>
            <w:t> </w:t>
          </w:r>
          <w:r>
            <w:rPr/>
            <w:t>Variabel</w:t>
            <w:tab/>
            <w:t>20</w:t>
          </w:r>
        </w:p>
        <w:p>
          <w:pPr>
            <w:pStyle w:val="TOC5"/>
            <w:numPr>
              <w:ilvl w:val="2"/>
              <w:numId w:val="2"/>
            </w:numPr>
            <w:tabs>
              <w:tab w:pos="2526" w:val="left" w:leader="none"/>
              <w:tab w:pos="8451" w:val="right" w:leader="dot"/>
            </w:tabs>
            <w:spacing w:line="240" w:lineRule="auto" w:before="137" w:after="0"/>
            <w:ind w:left="2525" w:right="0" w:hanging="663"/>
            <w:jc w:val="left"/>
          </w:pPr>
          <w:r>
            <w:rPr/>
            <w:t>Penelitian</w:t>
          </w:r>
          <w:r>
            <w:rPr>
              <w:spacing w:val="-4"/>
            </w:rPr>
            <w:t> </w:t>
          </w:r>
          <w:r>
            <w:rPr/>
            <w:t>Terdahulu</w:t>
            <w:tab/>
            <w:t>21</w:t>
          </w:r>
        </w:p>
        <w:p>
          <w:pPr>
            <w:pStyle w:val="TOC2"/>
            <w:numPr>
              <w:ilvl w:val="1"/>
              <w:numId w:val="2"/>
            </w:numPr>
            <w:tabs>
              <w:tab w:pos="1859" w:val="left" w:leader="none"/>
              <w:tab w:pos="8451" w:val="right" w:leader="dot"/>
            </w:tabs>
            <w:spacing w:line="240" w:lineRule="auto" w:before="137" w:after="0"/>
            <w:ind w:left="1859" w:right="0" w:hanging="423"/>
            <w:jc w:val="left"/>
          </w:pPr>
          <w:r>
            <w:rPr/>
            <w:t>Kerangka Pemikiran</w:t>
            <w:tab/>
            <w:t>23</w:t>
          </w:r>
        </w:p>
        <w:p>
          <w:pPr>
            <w:pStyle w:val="TOC2"/>
            <w:numPr>
              <w:ilvl w:val="1"/>
              <w:numId w:val="2"/>
            </w:numPr>
            <w:tabs>
              <w:tab w:pos="1859" w:val="left" w:leader="none"/>
              <w:tab w:pos="8389" w:val="right" w:leader="dot"/>
            </w:tabs>
            <w:spacing w:line="240" w:lineRule="auto" w:before="137" w:after="0"/>
            <w:ind w:left="1859" w:right="0" w:hanging="423"/>
            <w:jc w:val="left"/>
          </w:pPr>
          <w:r>
            <w:rPr/>
            <w:t>Hipotesis</w:t>
            <w:tab/>
            <w:t>24</w:t>
          </w:r>
        </w:p>
        <w:p>
          <w:pPr>
            <w:pStyle w:val="TOC1"/>
            <w:tabs>
              <w:tab w:pos="8403" w:val="right" w:leader="dot"/>
            </w:tabs>
            <w:spacing w:before="555"/>
            <w:rPr>
              <w:b w:val="0"/>
            </w:rPr>
          </w:pPr>
          <w:hyperlink w:history="true" w:anchor="_TOC_250021">
            <w:r>
              <w:rPr/>
              <w:t>BAB </w:t>
            </w:r>
            <w:r>
              <w:rPr>
                <w:spacing w:val="-3"/>
              </w:rPr>
              <w:t>III. </w:t>
            </w:r>
            <w:r>
              <w:rPr/>
              <w:t>OBJEK DAN</w:t>
            </w:r>
            <w:r>
              <w:rPr>
                <w:spacing w:val="9"/>
              </w:rPr>
              <w:t> </w:t>
            </w:r>
            <w:r>
              <w:rPr/>
              <w:t>METODE</w:t>
            </w:r>
            <w:r>
              <w:rPr>
                <w:spacing w:val="-1"/>
              </w:rPr>
              <w:t> </w:t>
            </w:r>
            <w:r>
              <w:rPr/>
              <w:t>PENELITIAN</w:t>
              <w:tab/>
            </w:r>
            <w:r>
              <w:rPr>
                <w:b w:val="0"/>
              </w:rPr>
              <w:t>26</w:t>
            </w:r>
          </w:hyperlink>
        </w:p>
        <w:p>
          <w:pPr>
            <w:pStyle w:val="TOC3"/>
            <w:numPr>
              <w:ilvl w:val="1"/>
              <w:numId w:val="3"/>
            </w:numPr>
            <w:tabs>
              <w:tab w:pos="1945" w:val="left" w:leader="none"/>
              <w:tab w:pos="8379" w:val="right" w:leader="dot"/>
            </w:tabs>
            <w:spacing w:line="240" w:lineRule="auto" w:before="179" w:after="0"/>
            <w:ind w:left="1944" w:right="0" w:hanging="447"/>
            <w:jc w:val="left"/>
          </w:pPr>
          <w:hyperlink w:history="true" w:anchor="_TOC_250020">
            <w:bookmarkStart w:name="3.1.  Objek Penelitian    26" w:id="4"/>
            <w:bookmarkEnd w:id="4"/>
            <w:r>
              <w:rPr/>
            </w:r>
            <w:bookmarkStart w:name="3.1.  Objek Penelitian    26" w:id="5"/>
            <w:bookmarkEnd w:id="5"/>
            <w:r>
              <w:rPr/>
              <w:t>O</w:t>
            </w:r>
            <w:r>
              <w:rPr/>
              <w:t>bjek</w:t>
            </w:r>
            <w:r>
              <w:rPr>
                <w:spacing w:val="-4"/>
              </w:rPr>
              <w:t> </w:t>
            </w:r>
            <w:r>
              <w:rPr/>
              <w:t>Penelitian</w:t>
              <w:tab/>
              <w:t>26</w:t>
            </w:r>
          </w:hyperlink>
        </w:p>
        <w:p>
          <w:pPr>
            <w:pStyle w:val="TOC3"/>
            <w:numPr>
              <w:ilvl w:val="1"/>
              <w:numId w:val="3"/>
            </w:numPr>
            <w:tabs>
              <w:tab w:pos="1984" w:val="left" w:leader="none"/>
              <w:tab w:pos="8379" w:val="right" w:leader="dot"/>
            </w:tabs>
            <w:spacing w:line="240" w:lineRule="auto" w:before="170" w:after="0"/>
            <w:ind w:left="1983" w:right="0" w:hanging="500"/>
            <w:jc w:val="left"/>
          </w:pPr>
          <w:hyperlink w:history="true" w:anchor="_TOC_250019">
            <w:bookmarkStart w:name="3.2.   Metode Penelitian    26" w:id="6"/>
            <w:bookmarkEnd w:id="6"/>
            <w:r>
              <w:rPr/>
            </w:r>
            <w:bookmarkStart w:name="3.2.   Metode Penelitian    26" w:id="7"/>
            <w:bookmarkEnd w:id="7"/>
            <w:r>
              <w:rPr/>
              <w:t>M</w:t>
            </w:r>
            <w:r>
              <w:rPr/>
              <w:t>etode</w:t>
            </w:r>
            <w:r>
              <w:rPr>
                <w:spacing w:val="-5"/>
              </w:rPr>
              <w:t> </w:t>
            </w:r>
            <w:r>
              <w:rPr/>
              <w:t>Penelitian</w:t>
              <w:tab/>
              <w:t>26</w:t>
            </w:r>
          </w:hyperlink>
        </w:p>
        <w:p>
          <w:pPr>
            <w:pStyle w:val="TOC6"/>
            <w:numPr>
              <w:ilvl w:val="2"/>
              <w:numId w:val="3"/>
            </w:numPr>
            <w:tabs>
              <w:tab w:pos="2546" w:val="left" w:leader="none"/>
              <w:tab w:pos="8403" w:val="right" w:leader="dot"/>
            </w:tabs>
            <w:spacing w:line="240" w:lineRule="auto" w:before="122" w:after="0"/>
            <w:ind w:left="2545" w:right="0" w:hanging="543"/>
            <w:jc w:val="left"/>
          </w:pPr>
          <w:hyperlink w:history="true" w:anchor="_TOC_250018">
            <w:r>
              <w:rPr/>
              <w:t>Metode</w:t>
            </w:r>
            <w:r>
              <w:rPr>
                <w:spacing w:val="1"/>
              </w:rPr>
              <w:t> </w:t>
            </w:r>
            <w:r>
              <w:rPr/>
              <w:t>Yang</w:t>
            </w:r>
            <w:r>
              <w:rPr>
                <w:spacing w:val="2"/>
              </w:rPr>
              <w:t> </w:t>
            </w:r>
            <w:r>
              <w:rPr/>
              <w:t>Digunakan</w:t>
              <w:tab/>
              <w:t>26</w:t>
            </w:r>
          </w:hyperlink>
        </w:p>
        <w:p>
          <w:pPr>
            <w:pStyle w:val="TOC6"/>
            <w:numPr>
              <w:ilvl w:val="2"/>
              <w:numId w:val="3"/>
            </w:numPr>
            <w:tabs>
              <w:tab w:pos="2546" w:val="left" w:leader="none"/>
              <w:tab w:pos="8403" w:val="right" w:leader="dot"/>
            </w:tabs>
            <w:spacing w:line="240" w:lineRule="auto" w:before="137" w:after="0"/>
            <w:ind w:left="2545" w:right="0" w:hanging="543"/>
            <w:jc w:val="left"/>
          </w:pPr>
          <w:hyperlink w:history="true" w:anchor="_TOC_250017">
            <w:r>
              <w:rPr/>
              <w:t>Operasionalisasi</w:t>
            </w:r>
            <w:r>
              <w:rPr>
                <w:spacing w:val="-4"/>
              </w:rPr>
              <w:t> </w:t>
            </w:r>
            <w:r>
              <w:rPr/>
              <w:t>Variabel</w:t>
              <w:tab/>
              <w:t>26</w:t>
            </w:r>
          </w:hyperlink>
        </w:p>
        <w:p>
          <w:pPr>
            <w:pStyle w:val="TOC6"/>
            <w:numPr>
              <w:ilvl w:val="2"/>
              <w:numId w:val="3"/>
            </w:numPr>
            <w:tabs>
              <w:tab w:pos="2546" w:val="left" w:leader="none"/>
              <w:tab w:pos="8403" w:val="right" w:leader="dot"/>
            </w:tabs>
            <w:spacing w:line="240" w:lineRule="auto" w:before="137" w:after="0"/>
            <w:ind w:left="2545" w:right="0" w:hanging="543"/>
            <w:jc w:val="left"/>
          </w:pPr>
          <w:r>
            <w:rPr/>
            <w:t>Populasi</w:t>
          </w:r>
          <w:r>
            <w:rPr>
              <w:spacing w:val="-8"/>
            </w:rPr>
            <w:t> </w:t>
          </w:r>
          <w:r>
            <w:rPr/>
            <w:t>dan</w:t>
          </w:r>
          <w:r>
            <w:rPr>
              <w:spacing w:val="-3"/>
            </w:rPr>
            <w:t> </w:t>
          </w:r>
          <w:r>
            <w:rPr/>
            <w:t>Sampel</w:t>
            <w:tab/>
            <w:t>27</w:t>
          </w:r>
        </w:p>
        <w:p>
          <w:pPr>
            <w:pStyle w:val="TOC7"/>
            <w:numPr>
              <w:ilvl w:val="3"/>
              <w:numId w:val="3"/>
            </w:numPr>
            <w:tabs>
              <w:tab w:pos="3299" w:val="left" w:leader="none"/>
              <w:tab w:pos="8403" w:val="right" w:leader="dot"/>
            </w:tabs>
            <w:spacing w:line="240" w:lineRule="auto" w:before="141" w:after="0"/>
            <w:ind w:left="3298" w:right="0" w:hanging="725"/>
            <w:jc w:val="left"/>
          </w:pPr>
          <w:hyperlink w:history="true" w:anchor="_TOC_250016">
            <w:r>
              <w:rPr/>
              <w:t>Populasi</w:t>
              <w:tab/>
              <w:t>27</w:t>
            </w:r>
          </w:hyperlink>
        </w:p>
        <w:p>
          <w:pPr>
            <w:pStyle w:val="TOC7"/>
            <w:numPr>
              <w:ilvl w:val="3"/>
              <w:numId w:val="3"/>
            </w:numPr>
            <w:tabs>
              <w:tab w:pos="3299" w:val="left" w:leader="none"/>
              <w:tab w:pos="8403" w:val="right" w:leader="dot"/>
            </w:tabs>
            <w:spacing w:line="240" w:lineRule="auto" w:before="138" w:after="0"/>
            <w:ind w:left="3298" w:right="0" w:hanging="725"/>
            <w:jc w:val="left"/>
          </w:pPr>
          <w:r>
            <w:rPr/>
            <w:t>Sampel</w:t>
            <w:tab/>
            <w:t>28</w:t>
          </w:r>
        </w:p>
        <w:p>
          <w:pPr>
            <w:pStyle w:val="TOC6"/>
            <w:numPr>
              <w:ilvl w:val="2"/>
              <w:numId w:val="3"/>
            </w:numPr>
            <w:tabs>
              <w:tab w:pos="2546" w:val="left" w:leader="none"/>
              <w:tab w:pos="8403" w:val="right" w:leader="dot"/>
            </w:tabs>
            <w:spacing w:line="240" w:lineRule="auto" w:before="137" w:after="0"/>
            <w:ind w:left="2545" w:right="0" w:hanging="543"/>
            <w:jc w:val="left"/>
          </w:pPr>
          <w:hyperlink w:history="true" w:anchor="_TOC_250015">
            <w:r>
              <w:rPr/>
              <w:t>Jenis dan Teknik</w:t>
            </w:r>
            <w:r>
              <w:rPr>
                <w:spacing w:val="-2"/>
              </w:rPr>
              <w:t> </w:t>
            </w:r>
            <w:r>
              <w:rPr/>
              <w:t>Pengumpulan</w:t>
            </w:r>
            <w:r>
              <w:rPr>
                <w:spacing w:val="-3"/>
              </w:rPr>
              <w:t> </w:t>
            </w:r>
            <w:r>
              <w:rPr/>
              <w:t>Data</w:t>
              <w:tab/>
              <w:t>29</w:t>
            </w:r>
          </w:hyperlink>
        </w:p>
        <w:p>
          <w:pPr>
            <w:pStyle w:val="TOC7"/>
            <w:numPr>
              <w:ilvl w:val="3"/>
              <w:numId w:val="3"/>
            </w:numPr>
            <w:tabs>
              <w:tab w:pos="3299" w:val="left" w:leader="none"/>
              <w:tab w:pos="8403" w:val="right" w:leader="dot"/>
            </w:tabs>
            <w:spacing w:line="240" w:lineRule="auto" w:before="136" w:after="0"/>
            <w:ind w:left="3298" w:right="0" w:hanging="725"/>
            <w:jc w:val="left"/>
          </w:pPr>
          <w:hyperlink w:history="true" w:anchor="_TOC_250014">
            <w:r>
              <w:rPr/>
              <w:t>Jenis</w:t>
            </w:r>
            <w:r>
              <w:rPr>
                <w:spacing w:val="-1"/>
              </w:rPr>
              <w:t> </w:t>
            </w:r>
            <w:r>
              <w:rPr/>
              <w:t>Data</w:t>
              <w:tab/>
              <w:t>29</w:t>
            </w:r>
          </w:hyperlink>
        </w:p>
        <w:p>
          <w:pPr>
            <w:pStyle w:val="TOC7"/>
            <w:numPr>
              <w:ilvl w:val="3"/>
              <w:numId w:val="3"/>
            </w:numPr>
            <w:tabs>
              <w:tab w:pos="3299" w:val="left" w:leader="none"/>
              <w:tab w:pos="8403" w:val="right" w:leader="dot"/>
            </w:tabs>
            <w:spacing w:line="240" w:lineRule="auto" w:before="142" w:after="0"/>
            <w:ind w:left="3298" w:right="0" w:hanging="725"/>
            <w:jc w:val="left"/>
          </w:pPr>
          <w:hyperlink w:history="true" w:anchor="_TOC_250013">
            <w:r>
              <w:rPr/>
              <w:t>Teknik</w:t>
            </w:r>
            <w:r>
              <w:rPr>
                <w:spacing w:val="1"/>
              </w:rPr>
              <w:t> </w:t>
            </w:r>
            <w:r>
              <w:rPr/>
              <w:t>Pengumpulan</w:t>
            </w:r>
            <w:r>
              <w:rPr>
                <w:spacing w:val="-3"/>
              </w:rPr>
              <w:t> </w:t>
            </w:r>
            <w:r>
              <w:rPr/>
              <w:t>Data</w:t>
              <w:tab/>
              <w:t>29</w:t>
            </w:r>
          </w:hyperlink>
        </w:p>
        <w:p>
          <w:pPr>
            <w:pStyle w:val="TOC6"/>
            <w:numPr>
              <w:ilvl w:val="2"/>
              <w:numId w:val="3"/>
            </w:numPr>
            <w:tabs>
              <w:tab w:pos="2546" w:val="left" w:leader="none"/>
              <w:tab w:pos="8403" w:val="right" w:leader="dot"/>
            </w:tabs>
            <w:spacing w:line="240" w:lineRule="auto" w:before="137" w:after="0"/>
            <w:ind w:left="2545" w:right="0" w:hanging="543"/>
            <w:jc w:val="left"/>
          </w:pPr>
          <w:hyperlink w:history="true" w:anchor="_TOC_250012">
            <w:r>
              <w:rPr/>
              <w:t>Metode Analisis Data</w:t>
              <w:tab/>
              <w:t>29</w:t>
            </w:r>
          </w:hyperlink>
        </w:p>
        <w:p>
          <w:pPr>
            <w:pStyle w:val="TOC7"/>
            <w:numPr>
              <w:ilvl w:val="3"/>
              <w:numId w:val="3"/>
            </w:numPr>
            <w:tabs>
              <w:tab w:pos="3299" w:val="left" w:leader="none"/>
              <w:tab w:pos="8403" w:val="right" w:leader="dot"/>
            </w:tabs>
            <w:spacing w:line="240" w:lineRule="auto" w:before="137" w:after="0"/>
            <w:ind w:left="3298" w:right="0" w:hanging="725"/>
            <w:jc w:val="left"/>
          </w:pPr>
          <w:hyperlink w:history="true" w:anchor="_TOC_250011">
            <w:r>
              <w:rPr/>
              <w:t>Uji</w:t>
            </w:r>
            <w:r>
              <w:rPr>
                <w:spacing w:val="-4"/>
              </w:rPr>
              <w:t> </w:t>
            </w:r>
            <w:r>
              <w:rPr/>
              <w:t>Asumsi</w:t>
            </w:r>
            <w:r>
              <w:rPr>
                <w:spacing w:val="2"/>
              </w:rPr>
              <w:t> </w:t>
            </w:r>
            <w:r>
              <w:rPr/>
              <w:t>Klasik</w:t>
              <w:tab/>
              <w:t>29</w:t>
            </w:r>
          </w:hyperlink>
        </w:p>
        <w:p>
          <w:pPr>
            <w:pStyle w:val="TOC6"/>
            <w:numPr>
              <w:ilvl w:val="2"/>
              <w:numId w:val="3"/>
            </w:numPr>
            <w:tabs>
              <w:tab w:pos="2545" w:val="left" w:leader="none"/>
              <w:tab w:pos="8403" w:val="right" w:leader="dot"/>
            </w:tabs>
            <w:spacing w:line="240" w:lineRule="auto" w:before="137" w:after="0"/>
            <w:ind w:left="2544" w:right="0" w:hanging="542"/>
            <w:jc w:val="left"/>
          </w:pPr>
          <w:r>
            <w:rPr/>
            <w:t>Analisis</w:t>
          </w:r>
          <w:r>
            <w:rPr>
              <w:spacing w:val="-1"/>
            </w:rPr>
            <w:t> </w:t>
          </w:r>
          <w:r>
            <w:rPr/>
            <w:t>Regresi</w:t>
          </w:r>
          <w:r>
            <w:rPr>
              <w:spacing w:val="-7"/>
            </w:rPr>
            <w:t> </w:t>
          </w:r>
          <w:r>
            <w:rPr/>
            <w:t>Berganda</w:t>
            <w:tab/>
            <w:t>32</w:t>
          </w:r>
        </w:p>
        <w:p>
          <w:pPr>
            <w:pStyle w:val="TOC6"/>
            <w:numPr>
              <w:ilvl w:val="2"/>
              <w:numId w:val="3"/>
            </w:numPr>
            <w:tabs>
              <w:tab w:pos="2546" w:val="left" w:leader="none"/>
              <w:tab w:pos="8403" w:val="right" w:leader="dot"/>
            </w:tabs>
            <w:spacing w:line="240" w:lineRule="auto" w:before="141" w:after="0"/>
            <w:ind w:left="2545" w:right="0" w:hanging="543"/>
            <w:jc w:val="left"/>
          </w:pPr>
          <w:hyperlink w:history="true" w:anchor="_TOC_250010">
            <w:r>
              <w:rPr/>
              <w:t>Rancangan</w:t>
            </w:r>
            <w:r>
              <w:rPr>
                <w:spacing w:val="-4"/>
              </w:rPr>
              <w:t> </w:t>
            </w:r>
            <w:r>
              <w:rPr/>
              <w:t>Uji</w:t>
            </w:r>
            <w:r>
              <w:rPr>
                <w:spacing w:val="-3"/>
              </w:rPr>
              <w:t> </w:t>
            </w:r>
            <w:r>
              <w:rPr/>
              <w:t>Hipotesis</w:t>
              <w:tab/>
              <w:t>33</w:t>
            </w:r>
          </w:hyperlink>
        </w:p>
        <w:p>
          <w:pPr>
            <w:pStyle w:val="TOC1"/>
            <w:tabs>
              <w:tab w:pos="8403" w:val="right" w:leader="dot"/>
            </w:tabs>
            <w:spacing w:before="551"/>
            <w:rPr>
              <w:b w:val="0"/>
            </w:rPr>
          </w:pPr>
          <w:hyperlink w:history="true" w:anchor="_TOC_250009">
            <w:r>
              <w:rPr/>
              <w:t>BAB IV. HASIL PENELITIAN</w:t>
            </w:r>
            <w:r>
              <w:rPr>
                <w:spacing w:val="1"/>
              </w:rPr>
              <w:t> </w:t>
            </w:r>
            <w:r>
              <w:rPr/>
              <w:t>DAN</w:t>
            </w:r>
            <w:r>
              <w:rPr>
                <w:spacing w:val="1"/>
              </w:rPr>
              <w:t> </w:t>
            </w:r>
            <w:r>
              <w:rPr/>
              <w:t>PEMBAHASAN</w:t>
              <w:tab/>
            </w:r>
            <w:r>
              <w:rPr>
                <w:b w:val="0"/>
              </w:rPr>
              <w:t>35</w:t>
            </w:r>
          </w:hyperlink>
        </w:p>
        <w:p>
          <w:pPr>
            <w:pStyle w:val="TOC4"/>
            <w:numPr>
              <w:ilvl w:val="1"/>
              <w:numId w:val="4"/>
            </w:numPr>
            <w:tabs>
              <w:tab w:pos="2080" w:val="left" w:leader="none"/>
              <w:tab w:pos="8403" w:val="right" w:leader="dot"/>
            </w:tabs>
            <w:spacing w:line="240" w:lineRule="auto" w:before="137" w:after="0"/>
            <w:ind w:left="2079" w:right="0" w:hanging="361"/>
            <w:jc w:val="left"/>
          </w:pPr>
          <w:hyperlink w:history="true" w:anchor="_TOC_250008">
            <w:r>
              <w:rPr/>
              <w:t>Gambaran</w:t>
            </w:r>
            <w:r>
              <w:rPr>
                <w:spacing w:val="-3"/>
              </w:rPr>
              <w:t> </w:t>
            </w:r>
            <w:r>
              <w:rPr/>
              <w:t>Umum</w:t>
            </w:r>
            <w:r>
              <w:rPr>
                <w:spacing w:val="-5"/>
              </w:rPr>
              <w:t> </w:t>
            </w:r>
            <w:r>
              <w:rPr/>
              <w:t>Perusahaan</w:t>
              <w:tab/>
              <w:t>35</w:t>
            </w:r>
          </w:hyperlink>
        </w:p>
        <w:p>
          <w:pPr>
            <w:pStyle w:val="TOC6"/>
            <w:numPr>
              <w:ilvl w:val="2"/>
              <w:numId w:val="4"/>
            </w:numPr>
            <w:tabs>
              <w:tab w:pos="2575" w:val="left" w:leader="none"/>
              <w:tab w:pos="8403" w:val="right" w:leader="dot"/>
            </w:tabs>
            <w:spacing w:line="240" w:lineRule="auto" w:before="141" w:after="0"/>
            <w:ind w:left="2574" w:right="0" w:hanging="572"/>
            <w:jc w:val="left"/>
          </w:pPr>
          <w:r>
            <w:rPr/>
            <w:t>Perusahaan Sub</w:t>
          </w:r>
          <w:r>
            <w:rPr>
              <w:spacing w:val="-7"/>
            </w:rPr>
            <w:t> </w:t>
          </w:r>
          <w:r>
            <w:rPr/>
            <w:t>Sektor</w:t>
          </w:r>
          <w:r>
            <w:rPr>
              <w:spacing w:val="-1"/>
            </w:rPr>
            <w:t> </w:t>
          </w:r>
          <w:r>
            <w:rPr/>
            <w:t>Semen</w:t>
            <w:tab/>
            <w:t>35</w:t>
          </w:r>
        </w:p>
        <w:p>
          <w:pPr>
            <w:pStyle w:val="TOC6"/>
            <w:numPr>
              <w:ilvl w:val="2"/>
              <w:numId w:val="4"/>
            </w:numPr>
            <w:tabs>
              <w:tab w:pos="2575" w:val="left" w:leader="none"/>
              <w:tab w:pos="8403" w:val="right" w:leader="dot"/>
            </w:tabs>
            <w:spacing w:line="240" w:lineRule="auto" w:before="137" w:after="0"/>
            <w:ind w:left="2574" w:right="0" w:hanging="572"/>
            <w:jc w:val="left"/>
          </w:pPr>
          <w:r>
            <w:rPr/>
            <w:t>Deskripsi</w:t>
          </w:r>
          <w:r>
            <w:rPr>
              <w:spacing w:val="-7"/>
            </w:rPr>
            <w:t> </w:t>
          </w:r>
          <w:r>
            <w:rPr/>
            <w:t>Hasil</w:t>
          </w:r>
          <w:r>
            <w:rPr>
              <w:spacing w:val="-7"/>
            </w:rPr>
            <w:t> </w:t>
          </w:r>
          <w:r>
            <w:rPr/>
            <w:t>Penelitian</w:t>
            <w:tab/>
            <w:t>39</w:t>
          </w:r>
        </w:p>
        <w:p>
          <w:pPr>
            <w:pStyle w:val="TOC6"/>
            <w:numPr>
              <w:ilvl w:val="2"/>
              <w:numId w:val="4"/>
            </w:numPr>
            <w:tabs>
              <w:tab w:pos="2575" w:val="left" w:leader="none"/>
              <w:tab w:pos="8403" w:val="right" w:leader="dot"/>
            </w:tabs>
            <w:spacing w:line="240" w:lineRule="auto" w:before="137" w:after="0"/>
            <w:ind w:left="2574" w:right="0" w:hanging="572"/>
            <w:jc w:val="left"/>
          </w:pPr>
          <w:hyperlink w:history="true" w:anchor="_TOC_250007">
            <w:r>
              <w:rPr/>
              <w:t>Uji</w:t>
            </w:r>
            <w:r>
              <w:rPr>
                <w:spacing w:val="-4"/>
              </w:rPr>
              <w:t> </w:t>
            </w:r>
            <w:r>
              <w:rPr/>
              <w:t>Asumsi</w:t>
            </w:r>
            <w:r>
              <w:rPr>
                <w:spacing w:val="2"/>
              </w:rPr>
              <w:t> </w:t>
            </w:r>
            <w:r>
              <w:rPr/>
              <w:t>Klasik</w:t>
              <w:tab/>
              <w:t>40</w:t>
            </w:r>
          </w:hyperlink>
        </w:p>
        <w:p>
          <w:pPr>
            <w:pStyle w:val="TOC6"/>
            <w:numPr>
              <w:ilvl w:val="2"/>
              <w:numId w:val="4"/>
            </w:numPr>
            <w:tabs>
              <w:tab w:pos="2575" w:val="left" w:leader="none"/>
              <w:tab w:pos="8403" w:val="right" w:leader="dot"/>
            </w:tabs>
            <w:spacing w:line="240" w:lineRule="auto" w:before="137" w:after="0"/>
            <w:ind w:left="2574" w:right="0" w:hanging="572"/>
            <w:jc w:val="left"/>
          </w:pPr>
          <w:hyperlink w:history="true" w:anchor="_TOC_250006">
            <w:r>
              <w:rPr/>
              <w:t>Hasil Analisis</w:t>
            </w:r>
            <w:r>
              <w:rPr>
                <w:spacing w:val="1"/>
              </w:rPr>
              <w:t> </w:t>
            </w:r>
            <w:r>
              <w:rPr/>
              <w:t>Regresi</w:t>
            </w:r>
            <w:r>
              <w:rPr>
                <w:spacing w:val="-4"/>
              </w:rPr>
              <w:t> </w:t>
            </w:r>
            <w:r>
              <w:rPr/>
              <w:t>Berganda</w:t>
              <w:tab/>
              <w:t>46</w:t>
            </w:r>
          </w:hyperlink>
        </w:p>
        <w:p>
          <w:pPr>
            <w:pStyle w:val="TOC6"/>
            <w:numPr>
              <w:ilvl w:val="2"/>
              <w:numId w:val="4"/>
            </w:numPr>
            <w:tabs>
              <w:tab w:pos="2575" w:val="left" w:leader="none"/>
              <w:tab w:pos="8403" w:val="right" w:leader="dot"/>
            </w:tabs>
            <w:spacing w:line="240" w:lineRule="auto" w:before="142" w:after="0"/>
            <w:ind w:left="2574" w:right="0" w:hanging="572"/>
            <w:jc w:val="left"/>
          </w:pPr>
          <w:hyperlink w:history="true" w:anchor="_TOC_250005">
            <w:r>
              <w:rPr/>
              <w:t>Pengujian</w:t>
            </w:r>
            <w:r>
              <w:rPr>
                <w:spacing w:val="-4"/>
              </w:rPr>
              <w:t> </w:t>
            </w:r>
            <w:r>
              <w:rPr/>
              <w:t>Hipotesis</w:t>
              <w:tab/>
              <w:t>47</w:t>
            </w:r>
          </w:hyperlink>
        </w:p>
        <w:p>
          <w:pPr>
            <w:pStyle w:val="TOC4"/>
            <w:numPr>
              <w:ilvl w:val="1"/>
              <w:numId w:val="4"/>
            </w:numPr>
            <w:tabs>
              <w:tab w:pos="2080" w:val="left" w:leader="none"/>
              <w:tab w:pos="8403" w:val="right" w:leader="dot"/>
            </w:tabs>
            <w:spacing w:line="240" w:lineRule="auto" w:before="137" w:after="20"/>
            <w:ind w:left="2079" w:right="0" w:hanging="361"/>
            <w:jc w:val="left"/>
          </w:pPr>
          <w:hyperlink w:history="true" w:anchor="_TOC_250004">
            <w:r>
              <w:rPr/>
              <w:t>Pembahasan</w:t>
              <w:tab/>
              <w:t>49</w:t>
            </w:r>
          </w:hyperlink>
        </w:p>
        <w:p>
          <w:pPr>
            <w:pStyle w:val="TOC1"/>
            <w:tabs>
              <w:tab w:pos="8403" w:val="right" w:leader="dot"/>
            </w:tabs>
            <w:spacing w:before="660"/>
            <w:rPr>
              <w:b w:val="0"/>
            </w:rPr>
          </w:pPr>
          <w:hyperlink w:history="true" w:anchor="_TOC_250003">
            <w:r>
              <w:rPr/>
              <w:t>BAB V KESIMPULAN</w:t>
            </w:r>
            <w:r>
              <w:rPr>
                <w:spacing w:val="-3"/>
              </w:rPr>
              <w:t> </w:t>
            </w:r>
            <w:r>
              <w:rPr/>
              <w:t>DAN</w:t>
            </w:r>
            <w:r>
              <w:rPr>
                <w:spacing w:val="1"/>
              </w:rPr>
              <w:t> </w:t>
            </w:r>
            <w:r>
              <w:rPr/>
              <w:t>SARAN</w:t>
              <w:tab/>
            </w:r>
            <w:r>
              <w:rPr>
                <w:b w:val="0"/>
              </w:rPr>
              <w:t>53</w:t>
            </w:r>
          </w:hyperlink>
        </w:p>
        <w:p>
          <w:pPr>
            <w:pStyle w:val="TOC4"/>
            <w:numPr>
              <w:ilvl w:val="1"/>
              <w:numId w:val="5"/>
            </w:numPr>
            <w:tabs>
              <w:tab w:pos="2147" w:val="left" w:leader="none"/>
              <w:tab w:pos="8403" w:val="right" w:leader="dot"/>
            </w:tabs>
            <w:spacing w:line="240" w:lineRule="auto" w:before="141" w:after="0"/>
            <w:ind w:left="2147" w:right="0" w:hanging="428"/>
            <w:jc w:val="left"/>
          </w:pPr>
          <w:hyperlink w:history="true" w:anchor="_TOC_250002">
            <w:r>
              <w:rPr/>
              <w:t>Kesimpulan</w:t>
              <w:tab/>
              <w:t>53</w:t>
            </w:r>
          </w:hyperlink>
        </w:p>
        <w:p>
          <w:pPr>
            <w:pStyle w:val="TOC4"/>
            <w:numPr>
              <w:ilvl w:val="1"/>
              <w:numId w:val="5"/>
            </w:numPr>
            <w:tabs>
              <w:tab w:pos="2147" w:val="left" w:leader="none"/>
              <w:tab w:pos="8403" w:val="right" w:leader="dot"/>
            </w:tabs>
            <w:spacing w:line="240" w:lineRule="auto" w:before="137" w:after="0"/>
            <w:ind w:left="2147" w:right="0" w:hanging="428"/>
            <w:jc w:val="left"/>
          </w:pPr>
          <w:hyperlink w:history="true" w:anchor="_TOC_250001">
            <w:r>
              <w:rPr/>
              <w:t>Saran</w:t>
              <w:tab/>
              <w:t>53</w:t>
            </w:r>
          </w:hyperlink>
        </w:p>
        <w:p>
          <w:pPr>
            <w:pStyle w:val="TOC1"/>
            <w:tabs>
              <w:tab w:pos="8389" w:val="right" w:leader="dot"/>
            </w:tabs>
            <w:rPr>
              <w:b w:val="0"/>
            </w:rPr>
          </w:pPr>
          <w:hyperlink w:history="true" w:anchor="_TOC_250000">
            <w:r>
              <w:rPr/>
              <w:t>DAFTAR PUSTAKA</w:t>
              <w:tab/>
            </w:r>
            <w:r>
              <w:rPr>
                <w:b w:val="0"/>
              </w:rPr>
              <w:t>55</w:t>
            </w:r>
          </w:hyperlink>
        </w:p>
      </w:sdtContent>
    </w:sdt>
    <w:p>
      <w:pPr>
        <w:spacing w:after="0"/>
        <w:sectPr>
          <w:pgSz w:w="11910" w:h="16840"/>
          <w:pgMar w:header="0" w:footer="918" w:top="1600" w:bottom="2261" w:left="1680" w:right="900"/>
        </w:sectPr>
      </w:pPr>
    </w:p>
    <w:p>
      <w:pPr>
        <w:spacing w:line="362" w:lineRule="auto" w:before="142"/>
        <w:ind w:left="586" w:right="6703" w:firstLine="0"/>
        <w:jc w:val="left"/>
        <w:rPr>
          <w:b/>
          <w:sz w:val="24"/>
        </w:rPr>
      </w:pPr>
      <w:r>
        <w:rPr>
          <w:b/>
          <w:sz w:val="24"/>
        </w:rPr>
        <w:t>LAMPIRAN RIWAYAT HIDUP</w:t>
      </w:r>
    </w:p>
    <w:p>
      <w:pPr>
        <w:spacing w:after="0" w:line="362" w:lineRule="auto"/>
        <w:jc w:val="left"/>
        <w:rPr>
          <w:sz w:val="24"/>
        </w:rPr>
        <w:sectPr>
          <w:type w:val="continuous"/>
          <w:pgSz w:w="11910" w:h="16840"/>
          <w:pgMar w:top="1580" w:bottom="1180" w:left="1680" w:right="900"/>
        </w:sectPr>
      </w:pPr>
    </w:p>
    <w:p>
      <w:pPr>
        <w:pStyle w:val="BodyText"/>
        <w:rPr>
          <w:b/>
          <w:sz w:val="30"/>
        </w:rPr>
      </w:pPr>
    </w:p>
    <w:p>
      <w:pPr>
        <w:pStyle w:val="BodyText"/>
        <w:spacing w:before="10"/>
        <w:rPr>
          <w:b/>
          <w:sz w:val="27"/>
        </w:rPr>
      </w:pPr>
    </w:p>
    <w:p>
      <w:pPr>
        <w:pStyle w:val="Heading2"/>
        <w:ind w:left="802" w:right="1012"/>
      </w:pPr>
      <w:bookmarkStart w:name="_TOC_250018" w:id="8"/>
      <w:bookmarkEnd w:id="8"/>
      <w:r>
        <w:rPr/>
        <w:t>DAFTAR GAMBAR</w:t>
      </w:r>
    </w:p>
    <w:p>
      <w:pPr>
        <w:pStyle w:val="BodyText"/>
        <w:spacing w:before="10"/>
        <w:rPr>
          <w:b/>
          <w:sz w:val="27"/>
        </w:rPr>
      </w:pPr>
    </w:p>
    <w:p>
      <w:pPr>
        <w:pStyle w:val="BodyText"/>
        <w:tabs>
          <w:tab w:pos="8278" w:val="left" w:leader="dot"/>
        </w:tabs>
        <w:ind w:left="591"/>
      </w:pPr>
      <w:r>
        <w:rPr/>
        <w:t>Gambar 2.1</w:t>
      </w:r>
      <w:r>
        <w:rPr>
          <w:spacing w:val="-2"/>
        </w:rPr>
        <w:t> </w:t>
      </w:r>
      <w:r>
        <w:rPr/>
        <w:t>Kerangka</w:t>
      </w:r>
      <w:r>
        <w:rPr>
          <w:spacing w:val="-2"/>
        </w:rPr>
        <w:t> </w:t>
      </w:r>
      <w:r>
        <w:rPr/>
        <w:t>Pemikiran</w:t>
        <w:tab/>
        <w:t>24</w:t>
      </w:r>
    </w:p>
    <w:p>
      <w:pPr>
        <w:pStyle w:val="BodyText"/>
        <w:tabs>
          <w:tab w:pos="8278" w:val="left" w:leader="dot"/>
        </w:tabs>
        <w:spacing w:before="142"/>
        <w:ind w:left="591"/>
      </w:pPr>
      <w:r>
        <w:rPr/>
        <w:t>Gambar 3.1 Struktur</w:t>
      </w:r>
      <w:r>
        <w:rPr>
          <w:spacing w:val="1"/>
        </w:rPr>
        <w:t> </w:t>
      </w:r>
      <w:r>
        <w:rPr/>
        <w:t>Regresi</w:t>
      </w:r>
      <w:r>
        <w:rPr>
          <w:spacing w:val="-8"/>
        </w:rPr>
        <w:t> </w:t>
      </w:r>
      <w:r>
        <w:rPr/>
        <w:t>Berganda</w:t>
        <w:tab/>
        <w:t>32</w:t>
      </w:r>
    </w:p>
    <w:p>
      <w:pPr>
        <w:pStyle w:val="BodyText"/>
        <w:tabs>
          <w:tab w:pos="8278" w:val="left" w:leader="dot"/>
        </w:tabs>
        <w:spacing w:before="141"/>
        <w:ind w:left="591"/>
      </w:pPr>
      <w:r>
        <w:rPr/>
        <w:t>Gambar 4.1 Hasil</w:t>
      </w:r>
      <w:r>
        <w:rPr>
          <w:spacing w:val="-5"/>
        </w:rPr>
        <w:t> </w:t>
      </w:r>
      <w:r>
        <w:rPr/>
        <w:t>Uji</w:t>
      </w:r>
      <w:r>
        <w:rPr>
          <w:spacing w:val="-6"/>
        </w:rPr>
        <w:t> </w:t>
      </w:r>
      <w:r>
        <w:rPr/>
        <w:t>Normalitas</w:t>
        <w:tab/>
        <w:t>42</w:t>
      </w:r>
    </w:p>
    <w:p>
      <w:pPr>
        <w:pStyle w:val="BodyText"/>
        <w:tabs>
          <w:tab w:pos="8278" w:val="left" w:leader="dot"/>
        </w:tabs>
        <w:spacing w:before="142"/>
        <w:ind w:left="591"/>
      </w:pPr>
      <w:r>
        <w:rPr/>
        <w:t>Gambar 4.2 Hasil</w:t>
      </w:r>
      <w:r>
        <w:rPr>
          <w:spacing w:val="-6"/>
        </w:rPr>
        <w:t> </w:t>
      </w:r>
      <w:r>
        <w:rPr/>
        <w:t>Uji</w:t>
      </w:r>
      <w:r>
        <w:rPr>
          <w:spacing w:val="-6"/>
        </w:rPr>
        <w:t> </w:t>
      </w:r>
      <w:r>
        <w:rPr/>
        <w:t>Heteroskedastisitas</w:t>
        <w:tab/>
        <w:t>44</w:t>
      </w:r>
    </w:p>
    <w:p>
      <w:pPr>
        <w:spacing w:after="0"/>
        <w:sectPr>
          <w:pgSz w:w="11910" w:h="16840"/>
          <w:pgMar w:header="0" w:footer="918" w:top="1580" w:bottom="1180" w:left="1680" w:right="900"/>
        </w:sectPr>
      </w:pPr>
    </w:p>
    <w:p>
      <w:pPr>
        <w:pStyle w:val="BodyText"/>
        <w:rPr>
          <w:sz w:val="20"/>
        </w:rPr>
      </w:pPr>
    </w:p>
    <w:p>
      <w:pPr>
        <w:pStyle w:val="BodyText"/>
        <w:rPr>
          <w:sz w:val="20"/>
        </w:rPr>
      </w:pPr>
    </w:p>
    <w:p>
      <w:pPr>
        <w:pStyle w:val="Heading2"/>
        <w:spacing w:before="206"/>
      </w:pPr>
      <w:bookmarkStart w:name="_TOC_250017" w:id="9"/>
      <w:bookmarkEnd w:id="9"/>
      <w:r>
        <w:rPr/>
        <w:t>DAFTAR TABEL</w:t>
      </w:r>
    </w:p>
    <w:p>
      <w:pPr>
        <w:pStyle w:val="BodyText"/>
        <w:tabs>
          <w:tab w:pos="8851" w:val="right" w:leader="dot"/>
        </w:tabs>
        <w:spacing w:before="771"/>
        <w:ind w:left="586"/>
        <w:rPr>
          <w:rFonts w:ascii="Calibri"/>
          <w:sz w:val="22"/>
        </w:rPr>
      </w:pPr>
      <w:r>
        <w:rPr/>
        <w:t>Tabel 1.1 Harga Saham Sub</w:t>
      </w:r>
      <w:r>
        <w:rPr>
          <w:spacing w:val="-15"/>
        </w:rPr>
        <w:t> </w:t>
      </w:r>
      <w:r>
        <w:rPr/>
        <w:t>Sektor</w:t>
      </w:r>
      <w:r>
        <w:rPr>
          <w:spacing w:val="8"/>
        </w:rPr>
        <w:t> </w:t>
      </w:r>
      <w:r>
        <w:rPr/>
        <w:t>Semen</w:t>
        <w:tab/>
      </w:r>
      <w:r>
        <w:rPr>
          <w:rFonts w:ascii="Calibri"/>
          <w:sz w:val="22"/>
        </w:rPr>
        <w:t>5</w:t>
      </w:r>
    </w:p>
    <w:p>
      <w:pPr>
        <w:pStyle w:val="BodyText"/>
        <w:tabs>
          <w:tab w:pos="8850" w:val="right" w:leader="dot"/>
        </w:tabs>
        <w:spacing w:before="144"/>
        <w:ind w:left="586"/>
        <w:rPr>
          <w:rFonts w:ascii="Calibri"/>
          <w:sz w:val="22"/>
        </w:rPr>
      </w:pPr>
      <w:r>
        <w:rPr/>
        <w:t>Tabel 3.1</w:t>
      </w:r>
      <w:r>
        <w:rPr>
          <w:spacing w:val="-20"/>
        </w:rPr>
        <w:t> </w:t>
      </w:r>
      <w:r>
        <w:rPr/>
        <w:t>Operasional</w:t>
      </w:r>
      <w:r>
        <w:rPr>
          <w:spacing w:val="-7"/>
        </w:rPr>
        <w:t> </w:t>
      </w:r>
      <w:r>
        <w:rPr/>
        <w:t>Variabel</w:t>
        <w:tab/>
      </w:r>
      <w:r>
        <w:rPr>
          <w:rFonts w:ascii="Calibri"/>
          <w:sz w:val="22"/>
        </w:rPr>
        <w:t>27</w:t>
      </w:r>
    </w:p>
    <w:p>
      <w:pPr>
        <w:pStyle w:val="BodyText"/>
        <w:tabs>
          <w:tab w:pos="8851" w:val="right" w:leader="dot"/>
        </w:tabs>
        <w:spacing w:before="140"/>
        <w:ind w:left="586"/>
        <w:rPr>
          <w:rFonts w:ascii="Calibri"/>
          <w:sz w:val="22"/>
        </w:rPr>
      </w:pPr>
      <w:r>
        <w:rPr/>
        <w:t>Tabel 3.2 Daftar Perusahaan Sub</w:t>
      </w:r>
      <w:r>
        <w:rPr>
          <w:spacing w:val="-8"/>
        </w:rPr>
        <w:t> </w:t>
      </w:r>
      <w:r>
        <w:rPr/>
        <w:t>Sektor</w:t>
      </w:r>
      <w:r>
        <w:rPr>
          <w:spacing w:val="3"/>
        </w:rPr>
        <w:t> </w:t>
      </w:r>
      <w:r>
        <w:rPr/>
        <w:t>Semen</w:t>
        <w:tab/>
      </w:r>
      <w:r>
        <w:rPr>
          <w:rFonts w:ascii="Calibri"/>
          <w:sz w:val="22"/>
        </w:rPr>
        <w:t>28</w:t>
      </w:r>
    </w:p>
    <w:p>
      <w:pPr>
        <w:pStyle w:val="BodyText"/>
        <w:tabs>
          <w:tab w:pos="8850" w:val="right" w:leader="dot"/>
        </w:tabs>
        <w:spacing w:before="144"/>
        <w:ind w:left="586"/>
        <w:rPr>
          <w:rFonts w:ascii="Calibri"/>
          <w:sz w:val="22"/>
        </w:rPr>
      </w:pPr>
      <w:r>
        <w:rPr/>
        <w:t>Tabel 3.3</w:t>
      </w:r>
      <w:r>
        <w:rPr>
          <w:spacing w:val="-6"/>
        </w:rPr>
        <w:t> </w:t>
      </w:r>
      <w:r>
        <w:rPr/>
        <w:t>Sampel</w:t>
      </w:r>
      <w:r>
        <w:rPr>
          <w:spacing w:val="-3"/>
        </w:rPr>
        <w:t> </w:t>
      </w:r>
      <w:r>
        <w:rPr/>
        <w:t>Penelitian</w:t>
        <w:tab/>
      </w:r>
      <w:r>
        <w:rPr>
          <w:rFonts w:ascii="Calibri"/>
          <w:sz w:val="22"/>
        </w:rPr>
        <w:t>29</w:t>
      </w:r>
    </w:p>
    <w:p>
      <w:pPr>
        <w:pStyle w:val="BodyText"/>
        <w:tabs>
          <w:tab w:pos="8850" w:val="right" w:leader="dot"/>
        </w:tabs>
        <w:spacing w:before="139"/>
        <w:ind w:left="586"/>
        <w:rPr>
          <w:rFonts w:ascii="Calibri"/>
          <w:sz w:val="22"/>
        </w:rPr>
      </w:pPr>
      <w:r>
        <w:rPr/>
        <w:t>Tabel 4.1</w:t>
      </w:r>
      <w:r>
        <w:rPr>
          <w:spacing w:val="-6"/>
        </w:rPr>
        <w:t> </w:t>
      </w:r>
      <w:r>
        <w:rPr/>
        <w:t>Analisis Deskriptif</w:t>
        <w:tab/>
      </w:r>
      <w:r>
        <w:rPr>
          <w:rFonts w:ascii="Calibri"/>
          <w:sz w:val="22"/>
        </w:rPr>
        <w:t>39</w:t>
      </w:r>
    </w:p>
    <w:p>
      <w:pPr>
        <w:pStyle w:val="BodyText"/>
        <w:tabs>
          <w:tab w:pos="8851" w:val="right" w:leader="dot"/>
        </w:tabs>
        <w:spacing w:before="144"/>
        <w:ind w:left="586"/>
        <w:rPr>
          <w:rFonts w:ascii="Calibri"/>
          <w:sz w:val="22"/>
        </w:rPr>
      </w:pPr>
      <w:r>
        <w:rPr/>
        <w:t>Tabel 4.2 Hasil</w:t>
      </w:r>
      <w:r>
        <w:rPr>
          <w:spacing w:val="-13"/>
        </w:rPr>
        <w:t> </w:t>
      </w:r>
      <w:r>
        <w:rPr>
          <w:spacing w:val="2"/>
        </w:rPr>
        <w:t>UJi</w:t>
      </w:r>
      <w:r>
        <w:rPr>
          <w:spacing w:val="-7"/>
        </w:rPr>
        <w:t> </w:t>
      </w:r>
      <w:r>
        <w:rPr/>
        <w:t>Normalitas</w:t>
        <w:tab/>
      </w:r>
      <w:r>
        <w:rPr>
          <w:rFonts w:ascii="Calibri"/>
          <w:sz w:val="22"/>
        </w:rPr>
        <w:t>41</w:t>
      </w:r>
    </w:p>
    <w:p>
      <w:pPr>
        <w:pStyle w:val="BodyText"/>
        <w:tabs>
          <w:tab w:pos="8851" w:val="right" w:leader="dot"/>
        </w:tabs>
        <w:spacing w:before="140"/>
        <w:ind w:left="586"/>
        <w:rPr>
          <w:rFonts w:ascii="Calibri"/>
          <w:sz w:val="22"/>
        </w:rPr>
      </w:pPr>
      <w:r>
        <w:rPr/>
        <w:t>Tabel 4.3 Hasil</w:t>
      </w:r>
      <w:r>
        <w:rPr>
          <w:spacing w:val="-13"/>
        </w:rPr>
        <w:t> </w:t>
      </w:r>
      <w:r>
        <w:rPr/>
        <w:t>Uji</w:t>
      </w:r>
      <w:r>
        <w:rPr>
          <w:spacing w:val="-2"/>
        </w:rPr>
        <w:t> </w:t>
      </w:r>
      <w:r>
        <w:rPr/>
        <w:t>Multikolinearitas</w:t>
        <w:tab/>
      </w:r>
      <w:r>
        <w:rPr>
          <w:rFonts w:ascii="Calibri"/>
          <w:sz w:val="22"/>
        </w:rPr>
        <w:t>43</w:t>
      </w:r>
    </w:p>
    <w:p>
      <w:pPr>
        <w:pStyle w:val="BodyText"/>
        <w:tabs>
          <w:tab w:pos="8851" w:val="right" w:leader="dot"/>
        </w:tabs>
        <w:spacing w:before="139"/>
        <w:ind w:left="586"/>
        <w:rPr>
          <w:rFonts w:ascii="Calibri"/>
          <w:sz w:val="22"/>
        </w:rPr>
      </w:pPr>
      <w:r>
        <w:rPr/>
        <w:t>Tabel 4.4 Hasil</w:t>
      </w:r>
      <w:r>
        <w:rPr>
          <w:spacing w:val="-13"/>
        </w:rPr>
        <w:t> </w:t>
      </w:r>
      <w:r>
        <w:rPr/>
        <w:t>Uji</w:t>
      </w:r>
      <w:r>
        <w:rPr>
          <w:spacing w:val="3"/>
        </w:rPr>
        <w:t> </w:t>
      </w:r>
      <w:r>
        <w:rPr/>
        <w:t>Autokorelasi</w:t>
        <w:tab/>
      </w:r>
      <w:r>
        <w:rPr>
          <w:rFonts w:ascii="Calibri"/>
          <w:sz w:val="22"/>
        </w:rPr>
        <w:t>45</w:t>
      </w:r>
    </w:p>
    <w:p>
      <w:pPr>
        <w:pStyle w:val="BodyText"/>
        <w:tabs>
          <w:tab w:pos="8851" w:val="right" w:leader="dot"/>
        </w:tabs>
        <w:spacing w:before="144"/>
        <w:ind w:left="586"/>
        <w:rPr>
          <w:rFonts w:ascii="Calibri"/>
          <w:sz w:val="22"/>
        </w:rPr>
      </w:pPr>
      <w:r>
        <w:rPr/>
        <w:t>Tabel 4.5 Uji</w:t>
      </w:r>
      <w:r>
        <w:rPr>
          <w:spacing w:val="-9"/>
        </w:rPr>
        <w:t> </w:t>
      </w:r>
      <w:r>
        <w:rPr/>
        <w:t>Regresi</w:t>
      </w:r>
      <w:r>
        <w:rPr>
          <w:spacing w:val="-3"/>
        </w:rPr>
        <w:t> </w:t>
      </w:r>
      <w:r>
        <w:rPr/>
        <w:t>Berganda</w:t>
        <w:tab/>
      </w:r>
      <w:r>
        <w:rPr>
          <w:rFonts w:ascii="Calibri"/>
          <w:sz w:val="22"/>
        </w:rPr>
        <w:t>46</w:t>
      </w:r>
    </w:p>
    <w:p>
      <w:pPr>
        <w:pStyle w:val="BodyText"/>
        <w:tabs>
          <w:tab w:pos="8851" w:val="right" w:leader="dot"/>
        </w:tabs>
        <w:spacing w:before="140"/>
        <w:ind w:left="586"/>
        <w:rPr>
          <w:rFonts w:ascii="Calibri"/>
          <w:sz w:val="22"/>
        </w:rPr>
      </w:pPr>
      <w:r>
        <w:rPr/>
        <w:t>Tabel 4.6 Hasil</w:t>
      </w:r>
      <w:r>
        <w:rPr>
          <w:spacing w:val="-13"/>
        </w:rPr>
        <w:t> </w:t>
      </w:r>
      <w:r>
        <w:rPr/>
        <w:t>Uji</w:t>
      </w:r>
      <w:r>
        <w:rPr>
          <w:spacing w:val="-2"/>
        </w:rPr>
        <w:t> </w:t>
      </w:r>
      <w:r>
        <w:rPr/>
        <w:t>Simultan</w:t>
        <w:tab/>
      </w:r>
      <w:r>
        <w:rPr>
          <w:rFonts w:ascii="Calibri"/>
          <w:sz w:val="22"/>
        </w:rPr>
        <w:t>47</w:t>
      </w:r>
    </w:p>
    <w:p>
      <w:pPr>
        <w:pStyle w:val="BodyText"/>
        <w:tabs>
          <w:tab w:pos="8850" w:val="right" w:leader="dot"/>
        </w:tabs>
        <w:spacing w:before="144"/>
        <w:ind w:left="586"/>
        <w:rPr>
          <w:rFonts w:ascii="Calibri"/>
          <w:sz w:val="22"/>
        </w:rPr>
      </w:pPr>
      <w:r>
        <w:rPr/>
        <w:t>Tabel 4.7 Hasil</w:t>
      </w:r>
      <w:r>
        <w:rPr>
          <w:spacing w:val="-12"/>
        </w:rPr>
        <w:t> </w:t>
      </w:r>
      <w:r>
        <w:rPr/>
        <w:t>Uji</w:t>
      </w:r>
      <w:r>
        <w:rPr>
          <w:spacing w:val="-2"/>
        </w:rPr>
        <w:t> </w:t>
      </w:r>
      <w:r>
        <w:rPr/>
        <w:t>Parsial</w:t>
        <w:tab/>
      </w:r>
      <w:r>
        <w:rPr>
          <w:rFonts w:ascii="Calibri"/>
          <w:sz w:val="22"/>
        </w:rPr>
        <w:t>48</w:t>
      </w:r>
    </w:p>
    <w:p>
      <w:pPr>
        <w:spacing w:after="0"/>
        <w:rPr>
          <w:rFonts w:ascii="Calibri"/>
          <w:sz w:val="22"/>
        </w:rPr>
        <w:sectPr>
          <w:pgSz w:w="11910" w:h="16840"/>
          <w:pgMar w:header="0" w:footer="918" w:top="1580" w:bottom="1180" w:left="1680" w:right="900"/>
        </w:sectPr>
      </w:pPr>
    </w:p>
    <w:p>
      <w:pPr>
        <w:spacing w:before="667"/>
        <w:ind w:left="802" w:right="1008" w:firstLine="0"/>
        <w:jc w:val="center"/>
        <w:rPr>
          <w:b/>
          <w:sz w:val="32"/>
        </w:rPr>
      </w:pPr>
      <w:r>
        <w:rPr>
          <w:b/>
          <w:sz w:val="32"/>
        </w:rPr>
        <w:t>DAFTAR LAMPIRAN</w:t>
      </w:r>
    </w:p>
    <w:p>
      <w:pPr>
        <w:pStyle w:val="BodyText"/>
        <w:tabs>
          <w:tab w:pos="8149" w:val="left" w:leader="dot"/>
        </w:tabs>
        <w:spacing w:line="552" w:lineRule="exact" w:before="55"/>
        <w:ind w:left="586" w:right="794" w:firstLine="7077"/>
      </w:pPr>
      <w:r>
        <w:rPr/>
        <w:t>Halaman Lampiran 1. Data</w:t>
      </w:r>
      <w:r>
        <w:rPr>
          <w:spacing w:val="-6"/>
        </w:rPr>
        <w:t> </w:t>
      </w:r>
      <w:r>
        <w:rPr/>
        <w:t>Hasil</w:t>
      </w:r>
      <w:r>
        <w:rPr>
          <w:spacing w:val="-5"/>
        </w:rPr>
        <w:t> </w:t>
      </w:r>
      <w:r>
        <w:rPr/>
        <w:t>Penelitian</w:t>
        <w:tab/>
        <w:t>59</w:t>
      </w:r>
    </w:p>
    <w:p>
      <w:pPr>
        <w:pStyle w:val="BodyText"/>
        <w:tabs>
          <w:tab w:pos="8149" w:val="left" w:leader="dot"/>
        </w:tabs>
        <w:spacing w:before="79"/>
        <w:ind w:left="586"/>
      </w:pPr>
      <w:r>
        <w:rPr/>
        <w:t>Lampiran 2. Surat Izin Penelitian</w:t>
      </w:r>
      <w:r>
        <w:rPr>
          <w:spacing w:val="-18"/>
        </w:rPr>
        <w:t> </w:t>
      </w:r>
      <w:r>
        <w:rPr/>
        <w:t>Dari</w:t>
      </w:r>
      <w:r>
        <w:rPr>
          <w:spacing w:val="-10"/>
        </w:rPr>
        <w:t> </w:t>
      </w:r>
      <w:r>
        <w:rPr/>
        <w:t>Lemlit</w:t>
        <w:tab/>
        <w:t>83</w:t>
      </w:r>
    </w:p>
    <w:p>
      <w:pPr>
        <w:pStyle w:val="BodyText"/>
        <w:tabs>
          <w:tab w:pos="8149" w:val="left" w:leader="dot"/>
        </w:tabs>
        <w:spacing w:before="137"/>
        <w:ind w:left="586"/>
      </w:pPr>
      <w:r>
        <w:rPr/>
        <w:t>Lampiran 3. Surat Keterangan Telah Meneliti Dari</w:t>
      </w:r>
      <w:r>
        <w:rPr>
          <w:spacing w:val="-17"/>
        </w:rPr>
        <w:t> </w:t>
      </w:r>
      <w:r>
        <w:rPr/>
        <w:t>Lokasi</w:t>
      </w:r>
      <w:r>
        <w:rPr>
          <w:spacing w:val="-9"/>
        </w:rPr>
        <w:t> </w:t>
      </w:r>
      <w:r>
        <w:rPr/>
        <w:t>Penelitian</w:t>
        <w:tab/>
        <w:t>84</w:t>
      </w:r>
    </w:p>
    <w:p>
      <w:pPr>
        <w:pStyle w:val="BodyText"/>
        <w:tabs>
          <w:tab w:pos="8149" w:val="left" w:leader="dot"/>
        </w:tabs>
        <w:spacing w:before="137"/>
        <w:ind w:left="586"/>
      </w:pPr>
      <w:r>
        <w:rPr/>
        <w:t>Lampiran 4. Surat Rekomendasi</w:t>
      </w:r>
      <w:r>
        <w:rPr>
          <w:spacing w:val="-10"/>
        </w:rPr>
        <w:t> </w:t>
      </w:r>
      <w:r>
        <w:rPr/>
        <w:t>Bebas</w:t>
      </w:r>
      <w:r>
        <w:rPr>
          <w:spacing w:val="-4"/>
        </w:rPr>
        <w:t> </w:t>
      </w:r>
      <w:r>
        <w:rPr/>
        <w:t>Plagiasi</w:t>
        <w:tab/>
        <w:t>85</w:t>
      </w:r>
    </w:p>
    <w:p>
      <w:pPr>
        <w:pStyle w:val="BodyText"/>
        <w:tabs>
          <w:tab w:pos="8149" w:val="left" w:leader="dot"/>
        </w:tabs>
        <w:spacing w:before="141"/>
        <w:ind w:left="586"/>
      </w:pPr>
      <w:r>
        <w:rPr/>
        <w:t>Lampiran 5.</w:t>
      </w:r>
      <w:r>
        <w:rPr>
          <w:spacing w:val="-6"/>
        </w:rPr>
        <w:t> </w:t>
      </w:r>
      <w:r>
        <w:rPr/>
        <w:t>Hasil</w:t>
      </w:r>
      <w:r>
        <w:rPr>
          <w:spacing w:val="-6"/>
        </w:rPr>
        <w:t> </w:t>
      </w:r>
      <w:r>
        <w:rPr/>
        <w:t>Turnitin</w:t>
        <w:tab/>
        <w:t>86</w:t>
      </w:r>
    </w:p>
    <w:p>
      <w:pPr>
        <w:pStyle w:val="BodyText"/>
        <w:tabs>
          <w:tab w:pos="8149" w:val="left" w:leader="dot"/>
        </w:tabs>
        <w:spacing w:before="137"/>
        <w:ind w:left="586"/>
      </w:pPr>
      <w:r>
        <w:rPr/>
        <w:t>Lampiran</w:t>
      </w:r>
      <w:r>
        <w:rPr>
          <w:spacing w:val="-5"/>
        </w:rPr>
        <w:t> </w:t>
      </w:r>
      <w:r>
        <w:rPr/>
        <w:t>6.</w:t>
      </w:r>
      <w:r>
        <w:rPr>
          <w:spacing w:val="2"/>
        </w:rPr>
        <w:t> </w:t>
      </w:r>
      <w:r>
        <w:rPr/>
        <w:t>Biodata</w:t>
        <w:tab/>
        <w:t>89</w:t>
      </w:r>
    </w:p>
    <w:p>
      <w:pPr>
        <w:spacing w:after="0"/>
        <w:sectPr>
          <w:pgSz w:w="11910" w:h="16840"/>
          <w:pgMar w:header="0" w:footer="918" w:top="1580" w:bottom="1180" w:left="1680" w:right="900"/>
        </w:sectPr>
      </w:pPr>
    </w:p>
    <w:p>
      <w:pPr>
        <w:pStyle w:val="BodyText"/>
        <w:rPr>
          <w:sz w:val="30"/>
        </w:rPr>
      </w:pPr>
    </w:p>
    <w:p>
      <w:pPr>
        <w:pStyle w:val="BodyText"/>
        <w:spacing w:before="10"/>
        <w:rPr>
          <w:sz w:val="27"/>
        </w:rPr>
      </w:pPr>
    </w:p>
    <w:p>
      <w:pPr>
        <w:pStyle w:val="Heading2"/>
        <w:spacing w:line="482" w:lineRule="auto"/>
        <w:ind w:left="3467" w:right="3682" w:firstLine="4"/>
      </w:pPr>
      <w:bookmarkStart w:name="_TOC_250016" w:id="10"/>
      <w:r>
        <w:rPr/>
        <w:t>BAB I </w:t>
      </w:r>
      <w:bookmarkEnd w:id="10"/>
      <w:r>
        <w:rPr>
          <w:w w:val="95"/>
        </w:rPr>
        <w:t>PENDAHULUAN</w:t>
      </w:r>
    </w:p>
    <w:p>
      <w:pPr>
        <w:pStyle w:val="BodyText"/>
        <w:spacing w:before="9"/>
        <w:rPr>
          <w:b/>
          <w:sz w:val="39"/>
        </w:rPr>
      </w:pPr>
    </w:p>
    <w:p>
      <w:pPr>
        <w:pStyle w:val="Heading3"/>
        <w:numPr>
          <w:ilvl w:val="1"/>
          <w:numId w:val="6"/>
        </w:numPr>
        <w:tabs>
          <w:tab w:pos="1307" w:val="left" w:leader="none"/>
        </w:tabs>
        <w:spacing w:line="240" w:lineRule="auto" w:before="0" w:after="0"/>
        <w:ind w:left="1306" w:right="0" w:hanging="721"/>
        <w:jc w:val="both"/>
      </w:pPr>
      <w:r>
        <w:rPr/>
        <w:t>Latar Belakang</w:t>
      </w:r>
      <w:r>
        <w:rPr>
          <w:spacing w:val="-3"/>
        </w:rPr>
        <w:t> </w:t>
      </w:r>
      <w:r>
        <w:rPr/>
        <w:t>Penelitian</w:t>
      </w:r>
    </w:p>
    <w:p>
      <w:pPr>
        <w:pStyle w:val="BodyText"/>
        <w:spacing w:before="6"/>
        <w:rPr>
          <w:b/>
          <w:sz w:val="23"/>
        </w:rPr>
      </w:pPr>
    </w:p>
    <w:p>
      <w:pPr>
        <w:pStyle w:val="BodyText"/>
        <w:spacing w:line="480" w:lineRule="auto" w:before="1"/>
        <w:ind w:left="586" w:right="797" w:firstLine="720"/>
        <w:jc w:val="both"/>
      </w:pPr>
      <w:r>
        <w:rPr/>
        <w:t>Pasar modal merupakan tempat bertemunya penjual dan pembeli atau fasilitas dalam melaksanakan jual beli surat-surat berharga baik saham maupun obligasi. Pasar modal menjadi indikator perekonomian suatu Negara. Apabila pasar modal meningkat maka perekonomian suatu negara meningkat, begitupun sebaliknya performa perekonomian dikatakan menurun apabila pasar modalnya menurun.</w:t>
      </w:r>
    </w:p>
    <w:p>
      <w:pPr>
        <w:pStyle w:val="BodyText"/>
        <w:spacing w:line="480" w:lineRule="auto" w:before="1"/>
        <w:ind w:left="586" w:right="791" w:firstLine="720"/>
        <w:jc w:val="both"/>
      </w:pPr>
      <w:r>
        <w:rPr/>
        <w:t>Di Indonesia sendiri pasar modal mengalami perkembangan yang sangat pesat hal ini dapat dilihat dari aktivitas </w:t>
      </w:r>
      <w:r>
        <w:rPr>
          <w:spacing w:val="-3"/>
        </w:rPr>
        <w:t>yang </w:t>
      </w:r>
      <w:r>
        <w:rPr/>
        <w:t>di Bursa Efek Indonesia. Perkembangan yang terjadi di Bursa Efek Indonesia tidak lepas dari peranan investor </w:t>
      </w:r>
      <w:r>
        <w:rPr>
          <w:spacing w:val="-3"/>
        </w:rPr>
        <w:t>yang </w:t>
      </w:r>
      <w:r>
        <w:rPr/>
        <w:t>melakukan transaksi jual </w:t>
      </w:r>
      <w:r>
        <w:rPr>
          <w:spacing w:val="-3"/>
        </w:rPr>
        <w:t>beli. </w:t>
      </w:r>
      <w:r>
        <w:rPr/>
        <w:t>Namun sebelum investor melakukan transaksi di pasar modal tentunya ada banyak pertimbangan yang harus dilakukan serta harus teliti dalam menilai emiten yang akan menjadi sasaran dalam menanamkan modalnya. Investor harus benar-benar </w:t>
      </w:r>
      <w:r>
        <w:rPr>
          <w:spacing w:val="-3"/>
        </w:rPr>
        <w:t>yakin </w:t>
      </w:r>
      <w:r>
        <w:rPr/>
        <w:t>bahwa informasi yang diterima adalah informasi yang benar tanpa mengada-ngada atau manipulasi. Salah satu inrofmasi yang penting yang harus menjadi perhatian investor yaitu mengenai lana perusahaan. Karena bagi investor </w:t>
      </w:r>
      <w:r>
        <w:rPr>
          <w:spacing w:val="-3"/>
        </w:rPr>
        <w:t>laba </w:t>
      </w:r>
      <w:r>
        <w:rPr/>
        <w:t>merupakan akan menjadi dasar dalam pengambilan keputusan di masa </w:t>
      </w:r>
      <w:r>
        <w:rPr>
          <w:spacing w:val="-3"/>
        </w:rPr>
        <w:t>yang </w:t>
      </w:r>
      <w:r>
        <w:rPr/>
        <w:t>akan datang.</w:t>
      </w:r>
    </w:p>
    <w:p>
      <w:pPr>
        <w:pStyle w:val="BodyText"/>
        <w:spacing w:line="480" w:lineRule="auto" w:before="2"/>
        <w:ind w:left="586" w:right="800" w:firstLine="720"/>
        <w:jc w:val="both"/>
      </w:pPr>
      <w:r>
        <w:rPr/>
        <w:t>Salah satu alat pasar modal adalah saham. Saham adalah tanda investasi modal di perusahaan atau perseroan terbatas. Bentuk saham adalah selembar</w:t>
      </w:r>
    </w:p>
    <w:p>
      <w:pPr>
        <w:spacing w:after="0" w:line="480" w:lineRule="auto"/>
        <w:jc w:val="both"/>
        <w:sectPr>
          <w:footerReference w:type="default" r:id="rId11"/>
          <w:pgSz w:w="11910" w:h="16840"/>
          <w:pgMar w:footer="0" w:header="0" w:top="1580" w:bottom="280" w:left="1680" w:right="900"/>
        </w:sectPr>
      </w:pPr>
    </w:p>
    <w:p>
      <w:pPr>
        <w:pStyle w:val="BodyText"/>
        <w:rPr>
          <w:sz w:val="20"/>
        </w:rPr>
      </w:pPr>
    </w:p>
    <w:p>
      <w:pPr>
        <w:pStyle w:val="BodyText"/>
        <w:rPr>
          <w:sz w:val="20"/>
        </w:rPr>
      </w:pPr>
    </w:p>
    <w:p>
      <w:pPr>
        <w:pStyle w:val="BodyText"/>
        <w:spacing w:line="480" w:lineRule="auto" w:before="205"/>
        <w:ind w:left="586" w:right="800"/>
        <w:jc w:val="both"/>
      </w:pPr>
      <w:r>
        <w:rPr/>
        <w:t>kertas, </w:t>
      </w:r>
      <w:r>
        <w:rPr>
          <w:spacing w:val="-3"/>
        </w:rPr>
        <w:t>yang </w:t>
      </w:r>
      <w:r>
        <w:rPr/>
        <w:t>menunjukkan bahwa pemilik kertas adalah pemilik perusahaan yang menerbitkan surat berharga. Perusahaan terbuka (perusahaan publik) menerbitkan saham di pasar </w:t>
      </w:r>
      <w:r>
        <w:rPr>
          <w:spacing w:val="-3"/>
        </w:rPr>
        <w:t>modal. </w:t>
      </w:r>
      <w:r>
        <w:rPr/>
        <w:t>Oleh karena itu, investor sebagai partisipan di pasar modal memainkan peran </w:t>
      </w:r>
      <w:r>
        <w:rPr>
          <w:spacing w:val="-3"/>
        </w:rPr>
        <w:t>yang </w:t>
      </w:r>
      <w:r>
        <w:rPr/>
        <w:t>sangat penting dalam mengoperasikan saham  yang mereka </w:t>
      </w:r>
      <w:r>
        <w:rPr>
          <w:spacing w:val="-3"/>
        </w:rPr>
        <w:t>miliki. </w:t>
      </w:r>
      <w:r>
        <w:rPr/>
        <w:t>Dalam hal ini, keputusan investor akan menentukan kelangsungan modal yang diinvestasikan (Praditha,</w:t>
      </w:r>
      <w:r>
        <w:rPr>
          <w:spacing w:val="3"/>
        </w:rPr>
        <w:t> </w:t>
      </w:r>
      <w:r>
        <w:rPr/>
        <w:t>2018).</w:t>
      </w:r>
    </w:p>
    <w:p>
      <w:pPr>
        <w:pStyle w:val="BodyText"/>
        <w:spacing w:line="480" w:lineRule="auto"/>
        <w:ind w:left="586" w:right="800" w:firstLine="720"/>
        <w:jc w:val="both"/>
      </w:pPr>
      <w:r>
        <w:rPr/>
        <w:t>Penilaian saham yang benar dapat meminimalkan risiko, dan pada saat yang sama dapat membantu investor memperoleh laba yang cukup besar. Pertimbangkan bahwa berinvestasi dalam saham di pasar modal adalah investasi berisiko tinggi, walaupun itu menjamin keuntungan yang relatif tinggi. Berinvestasi di pasar modal harus memperhatikan setidaknya dua hal, yaitu: pengembalian yang diharapkan dan risiko yang mungkin terjadi. Ini berarti bahwa investasi dalam bentuk saham diharapkan membawa keuntungan dan risiko besar.</w:t>
      </w:r>
    </w:p>
    <w:p>
      <w:pPr>
        <w:pStyle w:val="BodyText"/>
        <w:spacing w:line="480" w:lineRule="auto" w:before="2"/>
        <w:ind w:left="586" w:right="800" w:firstLine="720"/>
        <w:jc w:val="both"/>
      </w:pPr>
      <w:r>
        <w:rPr/>
        <w:t>Ketika investor membeli atau menjual saham, salah satu kekhawatirannya adalah harga saham. Harga saham mengacu pada harga saham yang berlaku untuk pasar modal. Harga saham adalah faktor yang sangat penting, karena harga saham menunjukkan pencapaian emiten, sehingga investor harus mempertimbangkan harga saham ketika berinvestasi. Harga saham menunjukkan nilai perusahaan, sehingga memaksimalkan nilai perusahaan dikatakan berarti memaksimalkan nilai investor atau pemegang saham. Semakin tinggi harga saham yang berpikir perusahaan berkinerja baik, dan sebaliknya, semakin rendah harga saham yang berpikir perusahaan berkinerja buruk (Egam, Ilat, &amp; Pangerapan, 2017).</w:t>
      </w:r>
    </w:p>
    <w:p>
      <w:pPr>
        <w:spacing w:after="0" w:line="480" w:lineRule="auto"/>
        <w:jc w:val="both"/>
        <w:sectPr>
          <w:footerReference w:type="default" r:id="rId12"/>
          <w:pgSz w:w="11910" w:h="16840"/>
          <w:pgMar w:footer="998" w:header="0" w:top="1580" w:bottom="1180" w:left="1680" w:right="900"/>
          <w:pgNumType w:start="2"/>
        </w:sectPr>
      </w:pPr>
    </w:p>
    <w:p>
      <w:pPr>
        <w:pStyle w:val="BodyText"/>
        <w:rPr>
          <w:sz w:val="20"/>
        </w:rPr>
      </w:pPr>
    </w:p>
    <w:p>
      <w:pPr>
        <w:pStyle w:val="BodyText"/>
        <w:rPr>
          <w:sz w:val="20"/>
        </w:rPr>
      </w:pPr>
    </w:p>
    <w:p>
      <w:pPr>
        <w:pStyle w:val="BodyText"/>
        <w:spacing w:line="480" w:lineRule="auto" w:before="205"/>
        <w:ind w:left="586" w:right="798" w:firstLine="720"/>
        <w:jc w:val="both"/>
      </w:pPr>
      <w:r>
        <w:rPr/>
        <w:t>Salah satu faktor </w:t>
      </w:r>
      <w:r>
        <w:rPr>
          <w:spacing w:val="-3"/>
        </w:rPr>
        <w:t>yang </w:t>
      </w:r>
      <w:r>
        <w:rPr/>
        <w:t>mempengaruhi harga saham yaitu laba yang diperoleh perusahaan karena secara umum investor akan menanamkan modal/dananya pada suatu perusahaan untuk mendapatkan keuntungan semaksimal mungkin. Selain itu </w:t>
      </w:r>
      <w:r>
        <w:rPr>
          <w:spacing w:val="-3"/>
        </w:rPr>
        <w:t>laba </w:t>
      </w:r>
      <w:r>
        <w:rPr/>
        <w:t>juga mempengaruhi pergerakan saham. Jila keuntungan meningkat </w:t>
      </w:r>
      <w:r>
        <w:rPr>
          <w:spacing w:val="-3"/>
        </w:rPr>
        <w:t>maka </w:t>
      </w:r>
      <w:r>
        <w:rPr/>
        <w:t>harga saham suatu perusahaan akan naik sebaliknya jika keuntungan menurun maka harga saham juga akan mengalami penurunan. Untuk mengukur keuntungan perusahaan dapat menggunakan rasio</w:t>
      </w:r>
      <w:r>
        <w:rPr>
          <w:spacing w:val="-16"/>
        </w:rPr>
        <w:t> </w:t>
      </w:r>
      <w:r>
        <w:rPr/>
        <w:t>profitabilitas.</w:t>
      </w:r>
    </w:p>
    <w:p>
      <w:pPr>
        <w:pStyle w:val="BodyText"/>
        <w:spacing w:line="480" w:lineRule="auto" w:before="1"/>
        <w:ind w:left="586" w:right="793" w:firstLine="720"/>
        <w:jc w:val="both"/>
      </w:pPr>
      <w:r>
        <w:rPr/>
        <w:t>Profitabilitas digunakan untuk menunjukkan efektivitas manajemen perusahaan dalam menghasilkan laba. Indikator yang umum digunakan adalah pengembalian atas aset (ROA), laba atas aset bersih (ROE), margin laba bersih (NPM) dan </w:t>
      </w:r>
      <w:r>
        <w:rPr>
          <w:spacing w:val="-3"/>
        </w:rPr>
        <w:t>laba </w:t>
      </w:r>
      <w:r>
        <w:rPr/>
        <w:t>per saham (EPS) (Mugi, Irwanto, &amp; Permanasari, 2016 : 140). Dalam penelitian ini indikator </w:t>
      </w:r>
      <w:r>
        <w:rPr>
          <w:spacing w:val="-3"/>
        </w:rPr>
        <w:t>yang </w:t>
      </w:r>
      <w:r>
        <w:rPr/>
        <w:t>digunakan untuk mengukur  profitabilitas yaitu </w:t>
      </w:r>
      <w:r>
        <w:rPr>
          <w:i/>
        </w:rPr>
        <w:t>Return on Asset dan Return on Equity, </w:t>
      </w:r>
      <w:r>
        <w:rPr/>
        <w:t>bagi investor </w:t>
      </w:r>
      <w:r>
        <w:rPr>
          <w:i/>
        </w:rPr>
        <w:t>Return on Asset </w:t>
      </w:r>
      <w:r>
        <w:rPr/>
        <w:t>dan </w:t>
      </w:r>
      <w:r>
        <w:rPr>
          <w:i/>
        </w:rPr>
        <w:t>Return on Equity </w:t>
      </w:r>
      <w:r>
        <w:rPr/>
        <w:t>menjadi patokan untuk memilih saham. </w:t>
      </w:r>
      <w:r>
        <w:rPr>
          <w:i/>
        </w:rPr>
        <w:t>Return on Asset </w:t>
      </w:r>
      <w:r>
        <w:rPr/>
        <w:t>merupakan ukuran kinerja manajemen tingkat atas, karena melihat bagaimana manajemen dapat menghasilkan laba atas aset </w:t>
      </w:r>
      <w:r>
        <w:rPr>
          <w:spacing w:val="-3"/>
        </w:rPr>
        <w:t>yang </w:t>
      </w:r>
      <w:r>
        <w:rPr/>
        <w:t>dimiliki.  Sedangkan </w:t>
      </w:r>
      <w:r>
        <w:rPr>
          <w:i/>
        </w:rPr>
        <w:t>Return </w:t>
      </w:r>
      <w:r>
        <w:rPr>
          <w:i/>
        </w:rPr>
        <w:t>on Equity </w:t>
      </w:r>
      <w:r>
        <w:rPr/>
        <w:t>menjadi tolak ukur seberapa besar investor mendapat imbalan atas modal yang</w:t>
      </w:r>
      <w:r>
        <w:rPr>
          <w:spacing w:val="-2"/>
        </w:rPr>
        <w:t> </w:t>
      </w:r>
      <w:r>
        <w:rPr/>
        <w:t>diinvestasikan.</w:t>
      </w:r>
    </w:p>
    <w:p>
      <w:pPr>
        <w:pStyle w:val="BodyText"/>
        <w:spacing w:line="480" w:lineRule="auto" w:before="2"/>
        <w:ind w:left="586" w:right="795" w:firstLine="720"/>
        <w:jc w:val="both"/>
      </w:pPr>
      <w:r>
        <w:rPr/>
        <w:t>Menurut Irham Fahmi (2013 : 82) </w:t>
      </w:r>
      <w:r>
        <w:rPr>
          <w:i/>
        </w:rPr>
        <w:t>Return on Asset </w:t>
      </w:r>
      <w:r>
        <w:rPr/>
        <w:t>menunjukkan sejauh mana investasi yang diinvestasikan menyediakan pengembalian / pengembalian yang diharapkan. Selain itu, tingkat pengembalian aset adalah ukuran kemampuan perusahaan untuk menggunakan semua aset perusahaan untuk menghasilkan laba (Sutrisno, 2017 : 213). Pengembalian aset yang lebih tinggi menunjukkan bahwa</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803"/>
        <w:jc w:val="both"/>
      </w:pPr>
      <w:r>
        <w:rPr/>
        <w:t>perusahaan memiliki keuntungan / laba yang lebih besar dan karena itu akan menarik investor untuk menginvestasikan dana di perusahaan. Meningkatnya permintaan untuk saham ini akan meningkatkan harga saham perusahaan</w:t>
      </w:r>
    </w:p>
    <w:p>
      <w:pPr>
        <w:pStyle w:val="BodyText"/>
        <w:spacing w:line="480" w:lineRule="auto"/>
        <w:ind w:left="586" w:right="796" w:firstLine="720"/>
        <w:jc w:val="both"/>
      </w:pPr>
      <w:r>
        <w:rPr/>
        <w:t>Menurut Fahmi (2013 : 82) </w:t>
      </w:r>
      <w:r>
        <w:rPr>
          <w:i/>
        </w:rPr>
        <w:t>Return on equity </w:t>
      </w:r>
      <w:r>
        <w:rPr/>
        <w:t>menunjukkan sejauh mana perusahaan menggunakan sumber daya untuk memberikan return on equity. Interpretasi lain menjelaskan bahwa laba atas ekuitas adalah kemampuan perusahaan untuk menggunakan modal sendiri untuk menghasilkan keuntungan (Sutrisno, 2017 : 213). Semakin besar laba atas ekuitas, semakin baik kondisi perusahaan, yang dapat meningkatkan kepercayaan investor dalam berinvestasi di modal.</w:t>
      </w:r>
    </w:p>
    <w:p>
      <w:pPr>
        <w:pStyle w:val="BodyText"/>
        <w:spacing w:line="482" w:lineRule="auto" w:before="2"/>
        <w:ind w:left="586" w:right="793" w:firstLine="720"/>
        <w:jc w:val="both"/>
      </w:pPr>
      <w:r>
        <w:rPr/>
        <w:t>Salah satu perusahaan yang menerbitkan sahamnya di bursa  efek Indonesia yaitu perusahaan sub sektor semen </w:t>
      </w:r>
      <w:r>
        <w:rPr>
          <w:spacing w:val="-3"/>
        </w:rPr>
        <w:t>yang </w:t>
      </w:r>
      <w:r>
        <w:rPr/>
        <w:t>terdiri dari PT. Indocement Tunggal Perkasa Tbk, PT. Semen Baturaja Tbk, PT. Holcim Indonesia Tbk, PT Semen Indonesia Tbk, PT. Waskita Beton Preacest Tbk dan PT. Wijaya Karya Beton Tbk. Perusahaan semen merupakan salah satu perusahaan yang berkontribusi besar dalam kehidupan sehari-hari karena perusahaan semen </w:t>
      </w:r>
      <w:r>
        <w:rPr>
          <w:spacing w:val="3"/>
        </w:rPr>
        <w:t>ini </w:t>
      </w:r>
      <w:r>
        <w:rPr/>
        <w:t>menyediakan bahan dasar pembangunan </w:t>
      </w:r>
      <w:r>
        <w:rPr>
          <w:spacing w:val="-3"/>
        </w:rPr>
        <w:t>yang </w:t>
      </w:r>
      <w:r>
        <w:rPr/>
        <w:t>dibutuhkan untuk membangun infrastruktur </w:t>
      </w:r>
      <w:r>
        <w:rPr>
          <w:spacing w:val="-3"/>
        </w:rPr>
        <w:t>yang </w:t>
      </w:r>
      <w:r>
        <w:rPr/>
        <w:t>dilakukan pemerintah maupun pribadi serta berkontribusi bagi perekonomian negara dalam hal ini berpartisipasi dalam memacu pertumbuhan ekonomi. Kepala Badan Pusat Statistik (BPS) Suhariyanto mengatakan kontribusi Produk Domestik Bruto (PDB) sub sektor semen yang naik 6,5%</w:t>
      </w:r>
      <w:r>
        <w:rPr>
          <w:spacing w:val="36"/>
        </w:rPr>
        <w:t> </w:t>
      </w:r>
      <w:r>
        <w:rPr/>
        <w:t>Berikut</w:t>
      </w:r>
    </w:p>
    <w:p>
      <w:pPr>
        <w:pStyle w:val="BodyText"/>
        <w:spacing w:line="480" w:lineRule="auto" w:before="43"/>
        <w:ind w:left="586" w:right="802"/>
        <w:jc w:val="both"/>
      </w:pPr>
      <w:r>
        <w:rPr/>
        <w:t>perkembangan harga saham perusahaan sub sektor semen yang terdaftar di bursa efek Indonesia sebagai berikut :</w:t>
      </w:r>
    </w:p>
    <w:p>
      <w:pPr>
        <w:spacing w:after="0" w:line="480" w:lineRule="auto"/>
        <w:jc w:val="both"/>
        <w:sectPr>
          <w:pgSz w:w="11910" w:h="16840"/>
          <w:pgMar w:header="0" w:footer="998" w:top="1580" w:bottom="1180" w:left="1680" w:right="900"/>
        </w:sectPr>
      </w:pPr>
    </w:p>
    <w:p>
      <w:pPr>
        <w:pStyle w:val="BodyText"/>
        <w:rPr>
          <w:sz w:val="20"/>
        </w:rPr>
      </w:pPr>
    </w:p>
    <w:p>
      <w:pPr>
        <w:pStyle w:val="BodyText"/>
        <w:spacing w:before="6"/>
        <w:rPr>
          <w:sz w:val="29"/>
        </w:rPr>
      </w:pPr>
    </w:p>
    <w:p>
      <w:pPr>
        <w:pStyle w:val="BodyText"/>
        <w:spacing w:line="280" w:lineRule="auto" w:before="90"/>
        <w:ind w:left="2757" w:right="794" w:hanging="1945"/>
      </w:pPr>
      <w:r>
        <w:rPr/>
        <w:t>Tabel 1.1 Harga saham perusahaan sub sektor Semen yang terdaftar di Bursa Efek Indonesia (dalam satuan rupiah)</w:t>
      </w:r>
    </w:p>
    <w:tbl>
      <w:tblPr>
        <w:tblW w:w="0" w:type="auto"/>
        <w:jc w:val="left"/>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1311"/>
        <w:gridCol w:w="961"/>
        <w:gridCol w:w="1124"/>
        <w:gridCol w:w="1134"/>
        <w:gridCol w:w="995"/>
        <w:gridCol w:w="994"/>
        <w:gridCol w:w="990"/>
      </w:tblGrid>
      <w:tr>
        <w:trPr>
          <w:trHeight w:val="297" w:hRule="atLeast"/>
        </w:trPr>
        <w:tc>
          <w:tcPr>
            <w:tcW w:w="509" w:type="dxa"/>
            <w:vMerge w:val="restart"/>
          </w:tcPr>
          <w:p>
            <w:pPr>
              <w:pStyle w:val="TableParagraph"/>
              <w:spacing w:line="240" w:lineRule="auto" w:before="159"/>
              <w:ind w:left="110"/>
              <w:jc w:val="left"/>
              <w:rPr>
                <w:sz w:val="24"/>
              </w:rPr>
            </w:pPr>
            <w:r>
              <w:rPr>
                <w:sz w:val="24"/>
              </w:rPr>
              <w:t>No</w:t>
            </w:r>
          </w:p>
        </w:tc>
        <w:tc>
          <w:tcPr>
            <w:tcW w:w="1311" w:type="dxa"/>
            <w:vMerge w:val="restart"/>
          </w:tcPr>
          <w:p>
            <w:pPr>
              <w:pStyle w:val="TableParagraph"/>
              <w:spacing w:line="237" w:lineRule="auto" w:before="22"/>
              <w:ind w:left="110" w:right="78" w:firstLine="288"/>
              <w:jc w:val="left"/>
              <w:rPr>
                <w:sz w:val="24"/>
              </w:rPr>
            </w:pPr>
            <w:r>
              <w:rPr>
                <w:sz w:val="24"/>
              </w:rPr>
              <w:t>Kode Perusahaan</w:t>
            </w:r>
          </w:p>
        </w:tc>
        <w:tc>
          <w:tcPr>
            <w:tcW w:w="6198" w:type="dxa"/>
            <w:gridSpan w:val="6"/>
          </w:tcPr>
          <w:p>
            <w:pPr>
              <w:pStyle w:val="TableParagraph"/>
              <w:spacing w:line="261" w:lineRule="exact" w:before="15"/>
              <w:ind w:left="2769" w:right="2765"/>
              <w:jc w:val="center"/>
              <w:rPr>
                <w:sz w:val="24"/>
              </w:rPr>
            </w:pPr>
            <w:r>
              <w:rPr>
                <w:sz w:val="24"/>
              </w:rPr>
              <w:t>Tahun</w:t>
            </w:r>
          </w:p>
        </w:tc>
      </w:tr>
      <w:tr>
        <w:trPr>
          <w:trHeight w:val="302" w:hRule="atLeast"/>
        </w:trPr>
        <w:tc>
          <w:tcPr>
            <w:tcW w:w="509" w:type="dxa"/>
            <w:vMerge/>
            <w:tcBorders>
              <w:top w:val="nil"/>
            </w:tcBorders>
          </w:tcPr>
          <w:p>
            <w:pPr>
              <w:rPr>
                <w:sz w:val="2"/>
                <w:szCs w:val="2"/>
              </w:rPr>
            </w:pPr>
          </w:p>
        </w:tc>
        <w:tc>
          <w:tcPr>
            <w:tcW w:w="1311" w:type="dxa"/>
            <w:vMerge/>
            <w:tcBorders>
              <w:top w:val="nil"/>
            </w:tcBorders>
          </w:tcPr>
          <w:p>
            <w:pPr>
              <w:rPr>
                <w:sz w:val="2"/>
                <w:szCs w:val="2"/>
              </w:rPr>
            </w:pPr>
          </w:p>
        </w:tc>
        <w:tc>
          <w:tcPr>
            <w:tcW w:w="961" w:type="dxa"/>
          </w:tcPr>
          <w:p>
            <w:pPr>
              <w:pStyle w:val="TableParagraph"/>
              <w:spacing w:before="15"/>
              <w:ind w:left="239"/>
              <w:jc w:val="left"/>
              <w:rPr>
                <w:sz w:val="24"/>
              </w:rPr>
            </w:pPr>
            <w:r>
              <w:rPr>
                <w:sz w:val="24"/>
              </w:rPr>
              <w:t>2013</w:t>
            </w:r>
          </w:p>
        </w:tc>
        <w:tc>
          <w:tcPr>
            <w:tcW w:w="1124" w:type="dxa"/>
          </w:tcPr>
          <w:p>
            <w:pPr>
              <w:pStyle w:val="TableParagraph"/>
              <w:spacing w:before="15"/>
              <w:ind w:left="320"/>
              <w:jc w:val="left"/>
              <w:rPr>
                <w:sz w:val="24"/>
              </w:rPr>
            </w:pPr>
            <w:r>
              <w:rPr>
                <w:sz w:val="24"/>
              </w:rPr>
              <w:t>2014</w:t>
            </w:r>
          </w:p>
        </w:tc>
        <w:tc>
          <w:tcPr>
            <w:tcW w:w="1134" w:type="dxa"/>
          </w:tcPr>
          <w:p>
            <w:pPr>
              <w:pStyle w:val="TableParagraph"/>
              <w:spacing w:before="15"/>
              <w:ind w:left="325"/>
              <w:jc w:val="left"/>
              <w:rPr>
                <w:sz w:val="24"/>
              </w:rPr>
            </w:pPr>
            <w:r>
              <w:rPr>
                <w:sz w:val="24"/>
              </w:rPr>
              <w:t>2015</w:t>
            </w:r>
          </w:p>
        </w:tc>
        <w:tc>
          <w:tcPr>
            <w:tcW w:w="995" w:type="dxa"/>
          </w:tcPr>
          <w:p>
            <w:pPr>
              <w:pStyle w:val="TableParagraph"/>
              <w:spacing w:before="15"/>
              <w:ind w:left="257"/>
              <w:jc w:val="left"/>
              <w:rPr>
                <w:sz w:val="24"/>
              </w:rPr>
            </w:pPr>
            <w:r>
              <w:rPr>
                <w:sz w:val="24"/>
              </w:rPr>
              <w:t>2016</w:t>
            </w:r>
          </w:p>
        </w:tc>
        <w:tc>
          <w:tcPr>
            <w:tcW w:w="994" w:type="dxa"/>
          </w:tcPr>
          <w:p>
            <w:pPr>
              <w:pStyle w:val="TableParagraph"/>
              <w:spacing w:before="15"/>
              <w:ind w:left="256"/>
              <w:jc w:val="left"/>
              <w:rPr>
                <w:sz w:val="24"/>
              </w:rPr>
            </w:pPr>
            <w:r>
              <w:rPr>
                <w:sz w:val="24"/>
              </w:rPr>
              <w:t>2017</w:t>
            </w:r>
          </w:p>
        </w:tc>
        <w:tc>
          <w:tcPr>
            <w:tcW w:w="990" w:type="dxa"/>
          </w:tcPr>
          <w:p>
            <w:pPr>
              <w:pStyle w:val="TableParagraph"/>
              <w:spacing w:before="15"/>
              <w:ind w:left="256"/>
              <w:jc w:val="left"/>
              <w:rPr>
                <w:sz w:val="24"/>
              </w:rPr>
            </w:pPr>
            <w:r>
              <w:rPr>
                <w:sz w:val="24"/>
              </w:rPr>
              <w:t>2018</w:t>
            </w:r>
          </w:p>
        </w:tc>
      </w:tr>
      <w:tr>
        <w:trPr>
          <w:trHeight w:val="297" w:hRule="atLeast"/>
        </w:trPr>
        <w:tc>
          <w:tcPr>
            <w:tcW w:w="509" w:type="dxa"/>
          </w:tcPr>
          <w:p>
            <w:pPr>
              <w:pStyle w:val="TableParagraph"/>
              <w:spacing w:line="240" w:lineRule="auto" w:before="1"/>
              <w:ind w:left="14"/>
              <w:jc w:val="center"/>
              <w:rPr>
                <w:sz w:val="24"/>
              </w:rPr>
            </w:pPr>
            <w:r>
              <w:rPr>
                <w:sz w:val="24"/>
              </w:rPr>
              <w:t>1</w:t>
            </w:r>
          </w:p>
        </w:tc>
        <w:tc>
          <w:tcPr>
            <w:tcW w:w="1311" w:type="dxa"/>
          </w:tcPr>
          <w:p>
            <w:pPr>
              <w:pStyle w:val="TableParagraph"/>
              <w:spacing w:line="261" w:lineRule="exact" w:before="15"/>
              <w:ind w:left="110"/>
              <w:jc w:val="left"/>
              <w:rPr>
                <w:sz w:val="24"/>
              </w:rPr>
            </w:pPr>
            <w:r>
              <w:rPr>
                <w:sz w:val="24"/>
              </w:rPr>
              <w:t>INTP</w:t>
            </w:r>
          </w:p>
        </w:tc>
        <w:tc>
          <w:tcPr>
            <w:tcW w:w="961" w:type="dxa"/>
          </w:tcPr>
          <w:p>
            <w:pPr>
              <w:pStyle w:val="TableParagraph"/>
              <w:spacing w:line="261" w:lineRule="exact" w:before="15"/>
              <w:ind w:right="90"/>
              <w:rPr>
                <w:sz w:val="24"/>
              </w:rPr>
            </w:pPr>
            <w:r>
              <w:rPr>
                <w:sz w:val="24"/>
              </w:rPr>
              <w:t>20,000</w:t>
            </w:r>
          </w:p>
        </w:tc>
        <w:tc>
          <w:tcPr>
            <w:tcW w:w="1124" w:type="dxa"/>
          </w:tcPr>
          <w:p>
            <w:pPr>
              <w:pStyle w:val="TableParagraph"/>
              <w:spacing w:line="261" w:lineRule="exact" w:before="15"/>
              <w:ind w:right="90"/>
              <w:rPr>
                <w:sz w:val="24"/>
              </w:rPr>
            </w:pPr>
            <w:r>
              <w:rPr>
                <w:sz w:val="24"/>
              </w:rPr>
              <w:t>25,000</w:t>
            </w:r>
          </w:p>
        </w:tc>
        <w:tc>
          <w:tcPr>
            <w:tcW w:w="1134" w:type="dxa"/>
          </w:tcPr>
          <w:p>
            <w:pPr>
              <w:pStyle w:val="TableParagraph"/>
              <w:spacing w:line="261" w:lineRule="exact" w:before="15"/>
              <w:ind w:right="91"/>
              <w:rPr>
                <w:sz w:val="24"/>
              </w:rPr>
            </w:pPr>
            <w:r>
              <w:rPr>
                <w:sz w:val="24"/>
              </w:rPr>
              <w:t>22,325</w:t>
            </w:r>
          </w:p>
        </w:tc>
        <w:tc>
          <w:tcPr>
            <w:tcW w:w="995" w:type="dxa"/>
          </w:tcPr>
          <w:p>
            <w:pPr>
              <w:pStyle w:val="TableParagraph"/>
              <w:spacing w:line="261" w:lineRule="exact" w:before="15"/>
              <w:ind w:right="92"/>
              <w:rPr>
                <w:sz w:val="24"/>
              </w:rPr>
            </w:pPr>
            <w:r>
              <w:rPr>
                <w:sz w:val="24"/>
              </w:rPr>
              <w:t>15,400</w:t>
            </w:r>
          </w:p>
        </w:tc>
        <w:tc>
          <w:tcPr>
            <w:tcW w:w="994" w:type="dxa"/>
          </w:tcPr>
          <w:p>
            <w:pPr>
              <w:pStyle w:val="TableParagraph"/>
              <w:spacing w:line="261" w:lineRule="exact" w:before="15"/>
              <w:ind w:right="92"/>
              <w:rPr>
                <w:sz w:val="24"/>
              </w:rPr>
            </w:pPr>
            <w:r>
              <w:rPr>
                <w:sz w:val="24"/>
              </w:rPr>
              <w:t>21,950</w:t>
            </w:r>
          </w:p>
        </w:tc>
        <w:tc>
          <w:tcPr>
            <w:tcW w:w="990" w:type="dxa"/>
          </w:tcPr>
          <w:p>
            <w:pPr>
              <w:pStyle w:val="TableParagraph"/>
              <w:spacing w:line="261" w:lineRule="exact" w:before="15"/>
              <w:ind w:right="88"/>
              <w:rPr>
                <w:sz w:val="24"/>
              </w:rPr>
            </w:pPr>
            <w:r>
              <w:rPr>
                <w:sz w:val="24"/>
              </w:rPr>
              <w:t>18,450</w:t>
            </w:r>
          </w:p>
        </w:tc>
      </w:tr>
      <w:tr>
        <w:trPr>
          <w:trHeight w:val="302" w:hRule="atLeast"/>
        </w:trPr>
        <w:tc>
          <w:tcPr>
            <w:tcW w:w="509" w:type="dxa"/>
          </w:tcPr>
          <w:p>
            <w:pPr>
              <w:pStyle w:val="TableParagraph"/>
              <w:spacing w:line="240" w:lineRule="auto" w:before="6"/>
              <w:ind w:left="14"/>
              <w:jc w:val="center"/>
              <w:rPr>
                <w:sz w:val="24"/>
              </w:rPr>
            </w:pPr>
            <w:r>
              <w:rPr>
                <w:sz w:val="24"/>
              </w:rPr>
              <w:t>2</w:t>
            </w:r>
          </w:p>
        </w:tc>
        <w:tc>
          <w:tcPr>
            <w:tcW w:w="1311" w:type="dxa"/>
          </w:tcPr>
          <w:p>
            <w:pPr>
              <w:pStyle w:val="TableParagraph"/>
              <w:spacing w:line="261" w:lineRule="exact" w:before="20"/>
              <w:ind w:left="110"/>
              <w:jc w:val="left"/>
              <w:rPr>
                <w:sz w:val="24"/>
              </w:rPr>
            </w:pPr>
            <w:r>
              <w:rPr>
                <w:sz w:val="24"/>
              </w:rPr>
              <w:t>SMGR</w:t>
            </w:r>
          </w:p>
        </w:tc>
        <w:tc>
          <w:tcPr>
            <w:tcW w:w="961" w:type="dxa"/>
          </w:tcPr>
          <w:p>
            <w:pPr>
              <w:pStyle w:val="TableParagraph"/>
              <w:spacing w:line="261" w:lineRule="exact" w:before="20"/>
              <w:ind w:right="90"/>
              <w:rPr>
                <w:sz w:val="24"/>
              </w:rPr>
            </w:pPr>
            <w:r>
              <w:rPr>
                <w:sz w:val="24"/>
              </w:rPr>
              <w:t>14,150</w:t>
            </w:r>
          </w:p>
        </w:tc>
        <w:tc>
          <w:tcPr>
            <w:tcW w:w="1124" w:type="dxa"/>
          </w:tcPr>
          <w:p>
            <w:pPr>
              <w:pStyle w:val="TableParagraph"/>
              <w:spacing w:line="261" w:lineRule="exact" w:before="20"/>
              <w:ind w:right="90"/>
              <w:rPr>
                <w:sz w:val="24"/>
              </w:rPr>
            </w:pPr>
            <w:r>
              <w:rPr>
                <w:sz w:val="24"/>
              </w:rPr>
              <w:t>16,200</w:t>
            </w:r>
          </w:p>
        </w:tc>
        <w:tc>
          <w:tcPr>
            <w:tcW w:w="1134" w:type="dxa"/>
          </w:tcPr>
          <w:p>
            <w:pPr>
              <w:pStyle w:val="TableParagraph"/>
              <w:spacing w:line="261" w:lineRule="exact" w:before="20"/>
              <w:ind w:right="91"/>
              <w:rPr>
                <w:sz w:val="24"/>
              </w:rPr>
            </w:pPr>
            <w:r>
              <w:rPr>
                <w:sz w:val="24"/>
              </w:rPr>
              <w:t>11,400</w:t>
            </w:r>
          </w:p>
        </w:tc>
        <w:tc>
          <w:tcPr>
            <w:tcW w:w="995" w:type="dxa"/>
          </w:tcPr>
          <w:p>
            <w:pPr>
              <w:pStyle w:val="TableParagraph"/>
              <w:spacing w:line="261" w:lineRule="exact" w:before="20"/>
              <w:ind w:right="92"/>
              <w:rPr>
                <w:sz w:val="24"/>
              </w:rPr>
            </w:pPr>
            <w:r>
              <w:rPr>
                <w:sz w:val="24"/>
              </w:rPr>
              <w:t>9,175</w:t>
            </w:r>
          </w:p>
        </w:tc>
        <w:tc>
          <w:tcPr>
            <w:tcW w:w="994" w:type="dxa"/>
          </w:tcPr>
          <w:p>
            <w:pPr>
              <w:pStyle w:val="TableParagraph"/>
              <w:spacing w:line="261" w:lineRule="exact" w:before="20"/>
              <w:ind w:right="92"/>
              <w:rPr>
                <w:sz w:val="24"/>
              </w:rPr>
            </w:pPr>
            <w:r>
              <w:rPr>
                <w:sz w:val="24"/>
              </w:rPr>
              <w:t>9,900</w:t>
            </w:r>
          </w:p>
        </w:tc>
        <w:tc>
          <w:tcPr>
            <w:tcW w:w="990" w:type="dxa"/>
          </w:tcPr>
          <w:p>
            <w:pPr>
              <w:pStyle w:val="TableParagraph"/>
              <w:spacing w:line="261" w:lineRule="exact" w:before="20"/>
              <w:ind w:right="88"/>
              <w:rPr>
                <w:sz w:val="24"/>
              </w:rPr>
            </w:pPr>
            <w:r>
              <w:rPr>
                <w:sz w:val="24"/>
              </w:rPr>
              <w:t>11,500</w:t>
            </w:r>
          </w:p>
        </w:tc>
      </w:tr>
      <w:tr>
        <w:trPr>
          <w:trHeight w:val="302" w:hRule="atLeast"/>
        </w:trPr>
        <w:tc>
          <w:tcPr>
            <w:tcW w:w="509" w:type="dxa"/>
          </w:tcPr>
          <w:p>
            <w:pPr>
              <w:pStyle w:val="TableParagraph"/>
              <w:spacing w:line="240" w:lineRule="auto" w:before="6"/>
              <w:ind w:left="14"/>
              <w:jc w:val="center"/>
              <w:rPr>
                <w:sz w:val="24"/>
              </w:rPr>
            </w:pPr>
            <w:r>
              <w:rPr>
                <w:sz w:val="24"/>
              </w:rPr>
              <w:t>3</w:t>
            </w:r>
          </w:p>
        </w:tc>
        <w:tc>
          <w:tcPr>
            <w:tcW w:w="1311" w:type="dxa"/>
          </w:tcPr>
          <w:p>
            <w:pPr>
              <w:pStyle w:val="TableParagraph"/>
              <w:spacing w:before="16"/>
              <w:ind w:left="110"/>
              <w:jc w:val="left"/>
              <w:rPr>
                <w:sz w:val="24"/>
              </w:rPr>
            </w:pPr>
            <w:r>
              <w:rPr>
                <w:sz w:val="24"/>
              </w:rPr>
              <w:t>WTON</w:t>
            </w:r>
          </w:p>
        </w:tc>
        <w:tc>
          <w:tcPr>
            <w:tcW w:w="961" w:type="dxa"/>
          </w:tcPr>
          <w:p>
            <w:pPr>
              <w:pStyle w:val="TableParagraph"/>
              <w:spacing w:before="16"/>
              <w:ind w:right="94"/>
              <w:rPr>
                <w:sz w:val="24"/>
              </w:rPr>
            </w:pPr>
            <w:r>
              <w:rPr>
                <w:sz w:val="24"/>
              </w:rPr>
              <w:t>735</w:t>
            </w:r>
          </w:p>
        </w:tc>
        <w:tc>
          <w:tcPr>
            <w:tcW w:w="1124" w:type="dxa"/>
          </w:tcPr>
          <w:p>
            <w:pPr>
              <w:pStyle w:val="TableParagraph"/>
              <w:spacing w:before="16"/>
              <w:ind w:right="90"/>
              <w:rPr>
                <w:sz w:val="24"/>
              </w:rPr>
            </w:pPr>
            <w:r>
              <w:rPr>
                <w:sz w:val="24"/>
              </w:rPr>
              <w:t>1,300</w:t>
            </w:r>
          </w:p>
        </w:tc>
        <w:tc>
          <w:tcPr>
            <w:tcW w:w="1134" w:type="dxa"/>
          </w:tcPr>
          <w:p>
            <w:pPr>
              <w:pStyle w:val="TableParagraph"/>
              <w:spacing w:before="16"/>
              <w:ind w:right="96"/>
              <w:rPr>
                <w:sz w:val="24"/>
              </w:rPr>
            </w:pPr>
            <w:r>
              <w:rPr>
                <w:sz w:val="24"/>
              </w:rPr>
              <w:t>825</w:t>
            </w:r>
          </w:p>
        </w:tc>
        <w:tc>
          <w:tcPr>
            <w:tcW w:w="995" w:type="dxa"/>
          </w:tcPr>
          <w:p>
            <w:pPr>
              <w:pStyle w:val="TableParagraph"/>
              <w:spacing w:before="16"/>
              <w:ind w:right="97"/>
              <w:rPr>
                <w:sz w:val="24"/>
              </w:rPr>
            </w:pPr>
            <w:r>
              <w:rPr>
                <w:sz w:val="24"/>
              </w:rPr>
              <w:t>825</w:t>
            </w:r>
          </w:p>
        </w:tc>
        <w:tc>
          <w:tcPr>
            <w:tcW w:w="994" w:type="dxa"/>
          </w:tcPr>
          <w:p>
            <w:pPr>
              <w:pStyle w:val="TableParagraph"/>
              <w:spacing w:before="16"/>
              <w:ind w:right="98"/>
              <w:rPr>
                <w:sz w:val="24"/>
              </w:rPr>
            </w:pPr>
            <w:r>
              <w:rPr>
                <w:sz w:val="24"/>
              </w:rPr>
              <w:t>500</w:t>
            </w:r>
          </w:p>
        </w:tc>
        <w:tc>
          <w:tcPr>
            <w:tcW w:w="990" w:type="dxa"/>
          </w:tcPr>
          <w:p>
            <w:pPr>
              <w:pStyle w:val="TableParagraph"/>
              <w:spacing w:before="16"/>
              <w:ind w:right="94"/>
              <w:rPr>
                <w:sz w:val="24"/>
              </w:rPr>
            </w:pPr>
            <w:r>
              <w:rPr>
                <w:sz w:val="24"/>
              </w:rPr>
              <w:t>376</w:t>
            </w:r>
          </w:p>
        </w:tc>
      </w:tr>
      <w:tr>
        <w:trPr>
          <w:trHeight w:val="297" w:hRule="atLeast"/>
        </w:trPr>
        <w:tc>
          <w:tcPr>
            <w:tcW w:w="509" w:type="dxa"/>
          </w:tcPr>
          <w:p>
            <w:pPr>
              <w:pStyle w:val="TableParagraph"/>
              <w:spacing w:line="240" w:lineRule="auto" w:before="1"/>
              <w:ind w:left="14"/>
              <w:jc w:val="center"/>
              <w:rPr>
                <w:sz w:val="24"/>
              </w:rPr>
            </w:pPr>
            <w:r>
              <w:rPr>
                <w:sz w:val="24"/>
              </w:rPr>
              <w:t>4</w:t>
            </w:r>
          </w:p>
        </w:tc>
        <w:tc>
          <w:tcPr>
            <w:tcW w:w="1311" w:type="dxa"/>
          </w:tcPr>
          <w:p>
            <w:pPr>
              <w:pStyle w:val="TableParagraph"/>
              <w:spacing w:line="261" w:lineRule="exact" w:before="15"/>
              <w:ind w:left="110"/>
              <w:jc w:val="left"/>
              <w:rPr>
                <w:sz w:val="24"/>
              </w:rPr>
            </w:pPr>
            <w:r>
              <w:rPr>
                <w:sz w:val="24"/>
              </w:rPr>
              <w:t>SMBR</w:t>
            </w:r>
          </w:p>
        </w:tc>
        <w:tc>
          <w:tcPr>
            <w:tcW w:w="961" w:type="dxa"/>
          </w:tcPr>
          <w:p>
            <w:pPr>
              <w:pStyle w:val="TableParagraph"/>
              <w:spacing w:line="261" w:lineRule="exact" w:before="15"/>
              <w:ind w:right="94"/>
              <w:rPr>
                <w:sz w:val="24"/>
              </w:rPr>
            </w:pPr>
            <w:r>
              <w:rPr>
                <w:sz w:val="24"/>
              </w:rPr>
              <w:t>330</w:t>
            </w:r>
          </w:p>
        </w:tc>
        <w:tc>
          <w:tcPr>
            <w:tcW w:w="1124" w:type="dxa"/>
          </w:tcPr>
          <w:p>
            <w:pPr>
              <w:pStyle w:val="TableParagraph"/>
              <w:spacing w:line="261" w:lineRule="exact" w:before="15"/>
              <w:ind w:right="96"/>
              <w:rPr>
                <w:sz w:val="24"/>
              </w:rPr>
            </w:pPr>
            <w:r>
              <w:rPr>
                <w:sz w:val="24"/>
              </w:rPr>
              <w:t>381</w:t>
            </w:r>
          </w:p>
        </w:tc>
        <w:tc>
          <w:tcPr>
            <w:tcW w:w="1134" w:type="dxa"/>
          </w:tcPr>
          <w:p>
            <w:pPr>
              <w:pStyle w:val="TableParagraph"/>
              <w:spacing w:line="261" w:lineRule="exact" w:before="15"/>
              <w:ind w:right="96"/>
              <w:rPr>
                <w:sz w:val="24"/>
              </w:rPr>
            </w:pPr>
            <w:r>
              <w:rPr>
                <w:sz w:val="24"/>
              </w:rPr>
              <w:t>291</w:t>
            </w:r>
          </w:p>
        </w:tc>
        <w:tc>
          <w:tcPr>
            <w:tcW w:w="995" w:type="dxa"/>
          </w:tcPr>
          <w:p>
            <w:pPr>
              <w:pStyle w:val="TableParagraph"/>
              <w:spacing w:line="261" w:lineRule="exact" w:before="15"/>
              <w:ind w:right="92"/>
              <w:rPr>
                <w:sz w:val="24"/>
              </w:rPr>
            </w:pPr>
            <w:r>
              <w:rPr>
                <w:sz w:val="24"/>
              </w:rPr>
              <w:t>2,790</w:t>
            </w:r>
          </w:p>
        </w:tc>
        <w:tc>
          <w:tcPr>
            <w:tcW w:w="994" w:type="dxa"/>
          </w:tcPr>
          <w:p>
            <w:pPr>
              <w:pStyle w:val="TableParagraph"/>
              <w:spacing w:line="261" w:lineRule="exact" w:before="15"/>
              <w:ind w:right="92"/>
              <w:rPr>
                <w:sz w:val="24"/>
              </w:rPr>
            </w:pPr>
            <w:r>
              <w:rPr>
                <w:sz w:val="24"/>
              </w:rPr>
              <w:t>3,800</w:t>
            </w:r>
          </w:p>
        </w:tc>
        <w:tc>
          <w:tcPr>
            <w:tcW w:w="990" w:type="dxa"/>
          </w:tcPr>
          <w:p>
            <w:pPr>
              <w:pStyle w:val="TableParagraph"/>
              <w:spacing w:line="261" w:lineRule="exact" w:before="15"/>
              <w:ind w:right="88"/>
              <w:rPr>
                <w:sz w:val="24"/>
              </w:rPr>
            </w:pPr>
            <w:r>
              <w:rPr>
                <w:sz w:val="24"/>
              </w:rPr>
              <w:t>1,750</w:t>
            </w:r>
          </w:p>
        </w:tc>
      </w:tr>
      <w:tr>
        <w:trPr>
          <w:trHeight w:val="301" w:hRule="atLeast"/>
        </w:trPr>
        <w:tc>
          <w:tcPr>
            <w:tcW w:w="509" w:type="dxa"/>
          </w:tcPr>
          <w:p>
            <w:pPr>
              <w:pStyle w:val="TableParagraph"/>
              <w:spacing w:line="240" w:lineRule="auto" w:before="6"/>
              <w:ind w:left="14"/>
              <w:jc w:val="center"/>
              <w:rPr>
                <w:sz w:val="24"/>
              </w:rPr>
            </w:pPr>
            <w:r>
              <w:rPr>
                <w:sz w:val="24"/>
              </w:rPr>
              <w:t>5</w:t>
            </w:r>
          </w:p>
        </w:tc>
        <w:tc>
          <w:tcPr>
            <w:tcW w:w="1311" w:type="dxa"/>
          </w:tcPr>
          <w:p>
            <w:pPr>
              <w:pStyle w:val="TableParagraph"/>
              <w:spacing w:before="15"/>
              <w:ind w:left="110"/>
              <w:jc w:val="left"/>
              <w:rPr>
                <w:sz w:val="24"/>
              </w:rPr>
            </w:pPr>
            <w:r>
              <w:rPr>
                <w:sz w:val="24"/>
              </w:rPr>
              <w:t>SMCB</w:t>
            </w:r>
          </w:p>
        </w:tc>
        <w:tc>
          <w:tcPr>
            <w:tcW w:w="961" w:type="dxa"/>
          </w:tcPr>
          <w:p>
            <w:pPr>
              <w:pStyle w:val="TableParagraph"/>
              <w:spacing w:before="15"/>
              <w:ind w:right="90"/>
              <w:rPr>
                <w:sz w:val="24"/>
              </w:rPr>
            </w:pPr>
            <w:r>
              <w:rPr>
                <w:sz w:val="24"/>
              </w:rPr>
              <w:t>2,275</w:t>
            </w:r>
          </w:p>
        </w:tc>
        <w:tc>
          <w:tcPr>
            <w:tcW w:w="1124" w:type="dxa"/>
          </w:tcPr>
          <w:p>
            <w:pPr>
              <w:pStyle w:val="TableParagraph"/>
              <w:spacing w:before="15"/>
              <w:ind w:right="90"/>
              <w:rPr>
                <w:sz w:val="24"/>
              </w:rPr>
            </w:pPr>
            <w:r>
              <w:rPr>
                <w:sz w:val="24"/>
              </w:rPr>
              <w:t>2,185</w:t>
            </w:r>
          </w:p>
        </w:tc>
        <w:tc>
          <w:tcPr>
            <w:tcW w:w="1134" w:type="dxa"/>
          </w:tcPr>
          <w:p>
            <w:pPr>
              <w:pStyle w:val="TableParagraph"/>
              <w:spacing w:before="15"/>
              <w:ind w:right="96"/>
              <w:rPr>
                <w:sz w:val="24"/>
              </w:rPr>
            </w:pPr>
            <w:r>
              <w:rPr>
                <w:sz w:val="24"/>
              </w:rPr>
              <w:t>995</w:t>
            </w:r>
          </w:p>
        </w:tc>
        <w:tc>
          <w:tcPr>
            <w:tcW w:w="995" w:type="dxa"/>
          </w:tcPr>
          <w:p>
            <w:pPr>
              <w:pStyle w:val="TableParagraph"/>
              <w:spacing w:before="15"/>
              <w:ind w:right="97"/>
              <w:rPr>
                <w:sz w:val="24"/>
              </w:rPr>
            </w:pPr>
            <w:r>
              <w:rPr>
                <w:sz w:val="24"/>
              </w:rPr>
              <w:t>900</w:t>
            </w:r>
          </w:p>
        </w:tc>
        <w:tc>
          <w:tcPr>
            <w:tcW w:w="994" w:type="dxa"/>
          </w:tcPr>
          <w:p>
            <w:pPr>
              <w:pStyle w:val="TableParagraph"/>
              <w:spacing w:before="15"/>
              <w:ind w:right="98"/>
              <w:rPr>
                <w:sz w:val="24"/>
              </w:rPr>
            </w:pPr>
            <w:r>
              <w:rPr>
                <w:sz w:val="24"/>
              </w:rPr>
              <w:t>835</w:t>
            </w:r>
          </w:p>
        </w:tc>
        <w:tc>
          <w:tcPr>
            <w:tcW w:w="990" w:type="dxa"/>
          </w:tcPr>
          <w:p>
            <w:pPr>
              <w:pStyle w:val="TableParagraph"/>
              <w:spacing w:before="15"/>
              <w:ind w:right="88"/>
              <w:rPr>
                <w:sz w:val="24"/>
              </w:rPr>
            </w:pPr>
            <w:r>
              <w:rPr>
                <w:sz w:val="24"/>
              </w:rPr>
              <w:t>1,885</w:t>
            </w:r>
          </w:p>
        </w:tc>
      </w:tr>
      <w:tr>
        <w:trPr>
          <w:trHeight w:val="297" w:hRule="atLeast"/>
        </w:trPr>
        <w:tc>
          <w:tcPr>
            <w:tcW w:w="1820" w:type="dxa"/>
            <w:gridSpan w:val="2"/>
          </w:tcPr>
          <w:p>
            <w:pPr>
              <w:pStyle w:val="TableParagraph"/>
              <w:spacing w:line="261" w:lineRule="exact" w:before="15"/>
              <w:ind w:left="470"/>
              <w:jc w:val="left"/>
              <w:rPr>
                <w:sz w:val="24"/>
              </w:rPr>
            </w:pPr>
            <w:r>
              <w:rPr>
                <w:sz w:val="24"/>
              </w:rPr>
              <w:t>Rata-rata</w:t>
            </w:r>
          </w:p>
        </w:tc>
        <w:tc>
          <w:tcPr>
            <w:tcW w:w="961" w:type="dxa"/>
          </w:tcPr>
          <w:p>
            <w:pPr>
              <w:pStyle w:val="TableParagraph"/>
              <w:spacing w:line="261" w:lineRule="exact" w:before="15"/>
              <w:ind w:right="90"/>
              <w:rPr>
                <w:sz w:val="24"/>
              </w:rPr>
            </w:pPr>
            <w:r>
              <w:rPr>
                <w:sz w:val="24"/>
              </w:rPr>
              <w:t>7,498</w:t>
            </w:r>
          </w:p>
        </w:tc>
        <w:tc>
          <w:tcPr>
            <w:tcW w:w="1124" w:type="dxa"/>
          </w:tcPr>
          <w:p>
            <w:pPr>
              <w:pStyle w:val="TableParagraph"/>
              <w:spacing w:line="261" w:lineRule="exact" w:before="15"/>
              <w:ind w:right="90"/>
              <w:rPr>
                <w:sz w:val="24"/>
              </w:rPr>
            </w:pPr>
            <w:r>
              <w:rPr>
                <w:sz w:val="24"/>
              </w:rPr>
              <w:t>9,013</w:t>
            </w:r>
          </w:p>
        </w:tc>
        <w:tc>
          <w:tcPr>
            <w:tcW w:w="1134" w:type="dxa"/>
          </w:tcPr>
          <w:p>
            <w:pPr>
              <w:pStyle w:val="TableParagraph"/>
              <w:spacing w:line="261" w:lineRule="exact" w:before="15"/>
              <w:ind w:right="91"/>
              <w:rPr>
                <w:sz w:val="24"/>
              </w:rPr>
            </w:pPr>
            <w:r>
              <w:rPr>
                <w:sz w:val="24"/>
              </w:rPr>
              <w:t>7,167</w:t>
            </w:r>
          </w:p>
        </w:tc>
        <w:tc>
          <w:tcPr>
            <w:tcW w:w="995" w:type="dxa"/>
          </w:tcPr>
          <w:p>
            <w:pPr>
              <w:pStyle w:val="TableParagraph"/>
              <w:spacing w:line="261" w:lineRule="exact" w:before="15"/>
              <w:ind w:right="92"/>
              <w:rPr>
                <w:sz w:val="24"/>
              </w:rPr>
            </w:pPr>
            <w:r>
              <w:rPr>
                <w:sz w:val="24"/>
              </w:rPr>
              <w:t>5,818</w:t>
            </w:r>
          </w:p>
        </w:tc>
        <w:tc>
          <w:tcPr>
            <w:tcW w:w="994" w:type="dxa"/>
          </w:tcPr>
          <w:p>
            <w:pPr>
              <w:pStyle w:val="TableParagraph"/>
              <w:spacing w:line="261" w:lineRule="exact" w:before="15"/>
              <w:ind w:right="92"/>
              <w:rPr>
                <w:sz w:val="24"/>
              </w:rPr>
            </w:pPr>
            <w:r>
              <w:rPr>
                <w:sz w:val="24"/>
              </w:rPr>
              <w:t>7,397</w:t>
            </w:r>
          </w:p>
        </w:tc>
        <w:tc>
          <w:tcPr>
            <w:tcW w:w="990" w:type="dxa"/>
          </w:tcPr>
          <w:p>
            <w:pPr>
              <w:pStyle w:val="TableParagraph"/>
              <w:spacing w:line="261" w:lineRule="exact" w:before="15"/>
              <w:ind w:right="88"/>
              <w:rPr>
                <w:sz w:val="24"/>
              </w:rPr>
            </w:pPr>
            <w:r>
              <w:rPr>
                <w:sz w:val="24"/>
              </w:rPr>
              <w:t>6,792</w:t>
            </w:r>
          </w:p>
        </w:tc>
      </w:tr>
    </w:tbl>
    <w:p>
      <w:pPr>
        <w:pStyle w:val="BodyText"/>
        <w:ind w:left="586"/>
      </w:pPr>
      <w:r>
        <w:rPr/>
        <w:t>Sumber : </w:t>
      </w:r>
      <w:hyperlink r:id="rId13">
        <w:r>
          <w:rPr>
            <w:color w:val="0462C1"/>
            <w:u w:val="single" w:color="0462C1"/>
          </w:rPr>
          <w:t>www.idx.co.id</w:t>
        </w:r>
        <w:r>
          <w:rPr>
            <w:color w:val="0462C1"/>
          </w:rPr>
          <w:t> </w:t>
        </w:r>
      </w:hyperlink>
      <w:r>
        <w:rPr/>
        <w:t>(2019)</w:t>
      </w:r>
    </w:p>
    <w:p>
      <w:pPr>
        <w:pStyle w:val="BodyText"/>
        <w:spacing w:before="2"/>
        <w:rPr>
          <w:sz w:val="16"/>
        </w:rPr>
      </w:pPr>
    </w:p>
    <w:p>
      <w:pPr>
        <w:pStyle w:val="BodyText"/>
        <w:spacing w:line="480" w:lineRule="auto" w:before="90"/>
        <w:ind w:left="586" w:right="794" w:firstLine="566"/>
        <w:jc w:val="both"/>
      </w:pPr>
      <w:r>
        <w:rPr/>
        <w:t>Berdasarkan tabel tersebut dapat dijelaskan bahwa perkembangan rata-rata harga saham perusahaan sub sektor semen dari tahun 2013 sampai 2018 bergerak fluktuatif. Tahun 2014 rata-rata harga saham mengalami kenaikan sebesar Rp.</w:t>
      </w:r>
    </w:p>
    <w:p>
      <w:pPr>
        <w:pStyle w:val="BodyText"/>
        <w:spacing w:line="480" w:lineRule="auto" w:before="1"/>
        <w:ind w:left="586" w:right="795"/>
        <w:jc w:val="both"/>
      </w:pPr>
      <w:r>
        <w:rPr/>
        <w:t>1.515. Tahun 2015 rata-rata harga saham menurun sebesar Rp. 1.846. tahun 2016 rata-rata harga saham mengalami penurunan sebesar Rp. 1.349, tahun 2017 rata- rata harga saham mengalami kenaikan sebesar Rp. 1.579 sedangkan tahun 2018 kembali mengalami penurunan sebesar Rp. Rp. 605. Penurunan yang terjadi dari tahun 2015 sampai 2016 karena volume penjualan yang menurun sehingga perolehan laba perusahaan menurun yang berdampak pada harga saham perusahaan. Tahun 2017 harga saham mengalami kenaikan dan tahun 2018 kembali mengalami penurunan. Beberapa tahun terakhir emiten semen masih mengalami tekanan selain karena volume penjualan yang menurun, melemahnya daya beli masyarakat sehingga laba emiten semen terus menurun dan berimbas pada kinerja sahamnya.</w:t>
      </w:r>
    </w:p>
    <w:p>
      <w:pPr>
        <w:pStyle w:val="BodyText"/>
        <w:spacing w:line="480" w:lineRule="auto" w:before="2"/>
        <w:ind w:left="586" w:right="800" w:firstLine="566"/>
        <w:jc w:val="both"/>
      </w:pPr>
      <w:r>
        <w:rPr/>
        <w:t>Dari pengamatan 6 tahun, karena stagnasi kinerja penjualan dalam 6 tahun terakhir, kinerja persediaan semen berada di bawah tekanan luar biasa yang disebabkan oleh kelebihan kapasitas. Ini adalah dampak dari penjualan yang</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801"/>
        <w:jc w:val="both"/>
      </w:pPr>
      <w:r>
        <w:rPr/>
        <w:t>lemah di industri real estat, yang selalu menjadi salah satu pilar utama kinerja industri semen. Penurunan penjualan berdampak pada laba bersih perusahaan.</w:t>
      </w:r>
    </w:p>
    <w:p>
      <w:pPr>
        <w:spacing w:line="482" w:lineRule="auto" w:before="0"/>
        <w:ind w:left="586" w:right="799" w:firstLine="566"/>
        <w:jc w:val="both"/>
        <w:rPr>
          <w:b/>
          <w:sz w:val="24"/>
        </w:rPr>
      </w:pPr>
      <w:r>
        <w:rPr>
          <w:sz w:val="24"/>
        </w:rPr>
        <w:t>Berdasarkan uraian pada latar belakang yang telah dikemukakan diatas, maka penulis tertarik memilih judul: </w:t>
      </w:r>
      <w:r>
        <w:rPr>
          <w:b/>
          <w:sz w:val="24"/>
        </w:rPr>
        <w:t>“Pengaruh </w:t>
      </w:r>
      <w:r>
        <w:rPr>
          <w:b/>
          <w:i/>
          <w:sz w:val="24"/>
        </w:rPr>
        <w:t>Return On Assets </w:t>
      </w:r>
      <w:r>
        <w:rPr>
          <w:b/>
          <w:sz w:val="24"/>
        </w:rPr>
        <w:t>dan </w:t>
      </w:r>
      <w:r>
        <w:rPr>
          <w:b/>
          <w:i/>
          <w:sz w:val="24"/>
        </w:rPr>
        <w:t>Return </w:t>
      </w:r>
      <w:r>
        <w:rPr>
          <w:b/>
          <w:i/>
          <w:sz w:val="24"/>
        </w:rPr>
        <w:t>On Equity </w:t>
      </w:r>
      <w:r>
        <w:rPr>
          <w:b/>
          <w:sz w:val="24"/>
        </w:rPr>
        <w:t>Terhadap Harga Saham Pada Perusahaan Sub Sektor Semen Yang Terdaftar Di Bursa Efek</w:t>
      </w:r>
      <w:r>
        <w:rPr>
          <w:b/>
          <w:spacing w:val="-1"/>
          <w:sz w:val="24"/>
        </w:rPr>
        <w:t> </w:t>
      </w:r>
      <w:r>
        <w:rPr>
          <w:b/>
          <w:sz w:val="24"/>
        </w:rPr>
        <w:t>Indonesia”.</w:t>
      </w:r>
    </w:p>
    <w:p>
      <w:pPr>
        <w:pStyle w:val="Heading3"/>
        <w:numPr>
          <w:ilvl w:val="1"/>
          <w:numId w:val="6"/>
        </w:numPr>
        <w:tabs>
          <w:tab w:pos="947" w:val="left" w:leader="none"/>
        </w:tabs>
        <w:spacing w:line="270" w:lineRule="exact" w:before="0" w:after="0"/>
        <w:ind w:left="946" w:right="0" w:hanging="361"/>
        <w:jc w:val="both"/>
      </w:pPr>
      <w:bookmarkStart w:name="_TOC_250015" w:id="11"/>
      <w:r>
        <w:rPr/>
        <w:t>Rumusan</w:t>
      </w:r>
      <w:r>
        <w:rPr>
          <w:spacing w:val="1"/>
        </w:rPr>
        <w:t> </w:t>
      </w:r>
      <w:bookmarkEnd w:id="11"/>
      <w:r>
        <w:rPr/>
        <w:t>Masalah</w:t>
      </w:r>
    </w:p>
    <w:p>
      <w:pPr>
        <w:pStyle w:val="BodyText"/>
        <w:spacing w:before="7"/>
        <w:rPr>
          <w:b/>
          <w:sz w:val="23"/>
        </w:rPr>
      </w:pPr>
    </w:p>
    <w:p>
      <w:pPr>
        <w:pStyle w:val="BodyText"/>
        <w:spacing w:line="480" w:lineRule="auto"/>
        <w:ind w:left="586" w:right="812" w:firstLine="566"/>
        <w:jc w:val="both"/>
      </w:pPr>
      <w:r>
        <w:rPr/>
        <w:t>Berdasarkan latar belakang pertanyaan di atas, pertanyaan yang dapat diajukan adalah sebagai berikut:</w:t>
      </w:r>
    </w:p>
    <w:p>
      <w:pPr>
        <w:pStyle w:val="ListParagraph"/>
        <w:numPr>
          <w:ilvl w:val="2"/>
          <w:numId w:val="6"/>
        </w:numPr>
        <w:tabs>
          <w:tab w:pos="1307" w:val="left" w:leader="none"/>
        </w:tabs>
        <w:spacing w:line="480" w:lineRule="auto" w:before="0" w:after="0"/>
        <w:ind w:left="1306" w:right="799" w:hanging="360"/>
        <w:jc w:val="both"/>
        <w:rPr>
          <w:sz w:val="24"/>
        </w:rPr>
      </w:pPr>
      <w:r>
        <w:rPr>
          <w:sz w:val="24"/>
        </w:rPr>
        <w:t>Seberapa besar Return On Assets (X1) dan Return On Equity (X2) terhadap harga saham perusahaan sub sektor semen yang terdaftar di Bursa Efek</w:t>
      </w:r>
      <w:r>
        <w:rPr>
          <w:spacing w:val="1"/>
          <w:sz w:val="24"/>
        </w:rPr>
        <w:t> </w:t>
      </w:r>
      <w:r>
        <w:rPr>
          <w:sz w:val="24"/>
        </w:rPr>
        <w:t>Indonesia.</w:t>
      </w:r>
    </w:p>
    <w:p>
      <w:pPr>
        <w:pStyle w:val="ListParagraph"/>
        <w:numPr>
          <w:ilvl w:val="2"/>
          <w:numId w:val="6"/>
        </w:numPr>
        <w:tabs>
          <w:tab w:pos="1307" w:val="left" w:leader="none"/>
        </w:tabs>
        <w:spacing w:line="480" w:lineRule="auto" w:before="1" w:after="0"/>
        <w:ind w:left="1306" w:right="791" w:hanging="360"/>
        <w:jc w:val="both"/>
        <w:rPr>
          <w:sz w:val="24"/>
        </w:rPr>
      </w:pPr>
      <w:r>
        <w:rPr>
          <w:sz w:val="24"/>
        </w:rPr>
        <w:t>Seberapa besar pengaruh Return On Assets (X1) secara parsial mempengaruhi harga saham perusahaan sub sektor semen </w:t>
      </w:r>
      <w:r>
        <w:rPr>
          <w:spacing w:val="-3"/>
          <w:sz w:val="24"/>
        </w:rPr>
        <w:t>yang </w:t>
      </w:r>
      <w:r>
        <w:rPr>
          <w:sz w:val="24"/>
        </w:rPr>
        <w:t>terdaftar di Bursa Efek</w:t>
      </w:r>
      <w:r>
        <w:rPr>
          <w:spacing w:val="2"/>
          <w:sz w:val="24"/>
        </w:rPr>
        <w:t> </w:t>
      </w:r>
      <w:r>
        <w:rPr>
          <w:sz w:val="24"/>
        </w:rPr>
        <w:t>Indonesia.</w:t>
      </w:r>
    </w:p>
    <w:p>
      <w:pPr>
        <w:pStyle w:val="ListParagraph"/>
        <w:numPr>
          <w:ilvl w:val="2"/>
          <w:numId w:val="6"/>
        </w:numPr>
        <w:tabs>
          <w:tab w:pos="1307" w:val="left" w:leader="none"/>
        </w:tabs>
        <w:spacing w:line="480" w:lineRule="auto" w:before="0" w:after="0"/>
        <w:ind w:left="1306" w:right="798" w:hanging="360"/>
        <w:jc w:val="both"/>
        <w:rPr>
          <w:sz w:val="24"/>
        </w:rPr>
      </w:pPr>
      <w:r>
        <w:rPr>
          <w:sz w:val="24"/>
        </w:rPr>
        <w:t>Seberapa besar pengaruh Return On Equity (X2) memiliki dampak parsial pada harga saham perusahaan sub sektor semen yang terdaftar di Bursa Efek</w:t>
      </w:r>
      <w:r>
        <w:rPr>
          <w:spacing w:val="1"/>
          <w:sz w:val="24"/>
        </w:rPr>
        <w:t> </w:t>
      </w:r>
      <w:r>
        <w:rPr>
          <w:sz w:val="24"/>
        </w:rPr>
        <w:t>Indonesia.</w:t>
      </w:r>
    </w:p>
    <w:p>
      <w:pPr>
        <w:pStyle w:val="Heading3"/>
        <w:numPr>
          <w:ilvl w:val="1"/>
          <w:numId w:val="6"/>
        </w:numPr>
        <w:tabs>
          <w:tab w:pos="947" w:val="left" w:leader="none"/>
        </w:tabs>
        <w:spacing w:line="240" w:lineRule="auto" w:before="6" w:after="0"/>
        <w:ind w:left="946" w:right="0" w:hanging="361"/>
        <w:jc w:val="both"/>
      </w:pPr>
      <w:bookmarkStart w:name="_TOC_250014" w:id="12"/>
      <w:r>
        <w:rPr/>
        <w:t>Maksud dan Tujuan</w:t>
      </w:r>
      <w:r>
        <w:rPr>
          <w:spacing w:val="10"/>
        </w:rPr>
        <w:t> </w:t>
      </w:r>
      <w:bookmarkEnd w:id="12"/>
      <w:r>
        <w:rPr/>
        <w:t>Penelitian</w:t>
      </w:r>
    </w:p>
    <w:p>
      <w:pPr>
        <w:pStyle w:val="BodyText"/>
        <w:rPr>
          <w:b/>
        </w:rPr>
      </w:pPr>
    </w:p>
    <w:p>
      <w:pPr>
        <w:pStyle w:val="ListParagraph"/>
        <w:numPr>
          <w:ilvl w:val="2"/>
          <w:numId w:val="7"/>
        </w:numPr>
        <w:tabs>
          <w:tab w:pos="1153" w:val="left" w:leader="none"/>
        </w:tabs>
        <w:spacing w:line="240" w:lineRule="auto" w:before="0" w:after="0"/>
        <w:ind w:left="1153" w:right="0" w:hanging="567"/>
        <w:jc w:val="both"/>
        <w:rPr>
          <w:b/>
          <w:sz w:val="24"/>
        </w:rPr>
      </w:pPr>
      <w:bookmarkStart w:name="_TOC_250013" w:id="13"/>
      <w:r>
        <w:rPr>
          <w:b/>
          <w:sz w:val="24"/>
        </w:rPr>
        <w:t>Maksud</w:t>
      </w:r>
      <w:r>
        <w:rPr>
          <w:b/>
          <w:spacing w:val="1"/>
          <w:sz w:val="24"/>
        </w:rPr>
        <w:t> </w:t>
      </w:r>
      <w:bookmarkEnd w:id="13"/>
      <w:r>
        <w:rPr>
          <w:b/>
          <w:sz w:val="24"/>
        </w:rPr>
        <w:t>Penelitian</w:t>
      </w:r>
    </w:p>
    <w:p>
      <w:pPr>
        <w:pStyle w:val="BodyText"/>
        <w:spacing w:before="7"/>
        <w:rPr>
          <w:b/>
          <w:sz w:val="23"/>
        </w:rPr>
      </w:pPr>
    </w:p>
    <w:p>
      <w:pPr>
        <w:pStyle w:val="BodyText"/>
        <w:spacing w:line="480" w:lineRule="auto"/>
        <w:ind w:left="586" w:right="793" w:firstLine="566"/>
        <w:jc w:val="both"/>
        <w:rPr>
          <w:i/>
        </w:rPr>
      </w:pPr>
      <w:r>
        <w:rPr/>
        <w:t>Maksud diadakannya penelitian ini ialah untuk memperoleh berbagai macam</w:t>
      </w:r>
      <w:r>
        <w:rPr>
          <w:spacing w:val="32"/>
        </w:rPr>
        <w:t> </w:t>
      </w:r>
      <w:r>
        <w:rPr/>
        <w:t>informasi</w:t>
      </w:r>
      <w:r>
        <w:rPr>
          <w:spacing w:val="29"/>
        </w:rPr>
        <w:t> </w:t>
      </w:r>
      <w:r>
        <w:rPr/>
        <w:t>dan</w:t>
      </w:r>
      <w:r>
        <w:rPr>
          <w:spacing w:val="28"/>
        </w:rPr>
        <w:t> </w:t>
      </w:r>
      <w:r>
        <w:rPr/>
        <w:t>data</w:t>
      </w:r>
      <w:r>
        <w:rPr>
          <w:spacing w:val="31"/>
        </w:rPr>
        <w:t> </w:t>
      </w:r>
      <w:r>
        <w:rPr/>
        <w:t>perusahaan</w:t>
      </w:r>
      <w:r>
        <w:rPr>
          <w:spacing w:val="30"/>
        </w:rPr>
        <w:t> </w:t>
      </w:r>
      <w:r>
        <w:rPr/>
        <w:t>terkait</w:t>
      </w:r>
      <w:r>
        <w:rPr>
          <w:spacing w:val="36"/>
        </w:rPr>
        <w:t> </w:t>
      </w:r>
      <w:r>
        <w:rPr/>
        <w:t>dengan</w:t>
      </w:r>
      <w:r>
        <w:rPr>
          <w:spacing w:val="29"/>
        </w:rPr>
        <w:t> </w:t>
      </w:r>
      <w:r>
        <w:rPr>
          <w:i/>
        </w:rPr>
        <w:t>Return</w:t>
      </w:r>
      <w:r>
        <w:rPr>
          <w:i/>
          <w:spacing w:val="32"/>
        </w:rPr>
        <w:t> </w:t>
      </w:r>
      <w:r>
        <w:rPr>
          <w:i/>
        </w:rPr>
        <w:t>On</w:t>
      </w:r>
      <w:r>
        <w:rPr>
          <w:i/>
          <w:spacing w:val="32"/>
        </w:rPr>
        <w:t> </w:t>
      </w:r>
      <w:r>
        <w:rPr>
          <w:i/>
        </w:rPr>
        <w:t>Assets,</w:t>
      </w:r>
      <w:r>
        <w:rPr>
          <w:i/>
          <w:spacing w:val="35"/>
        </w:rPr>
        <w:t> </w:t>
      </w:r>
      <w:r>
        <w:rPr>
          <w:i/>
        </w:rPr>
        <w:t>Return</w:t>
      </w:r>
    </w:p>
    <w:p>
      <w:pPr>
        <w:spacing w:after="0" w:line="480" w:lineRule="auto"/>
        <w:jc w:val="both"/>
        <w:sectPr>
          <w:pgSz w:w="11910" w:h="16840"/>
          <w:pgMar w:header="0" w:footer="998" w:top="1580" w:bottom="1180" w:left="1680" w:right="900"/>
        </w:sectPr>
      </w:pPr>
    </w:p>
    <w:p>
      <w:pPr>
        <w:pStyle w:val="BodyText"/>
        <w:rPr>
          <w:i/>
          <w:sz w:val="20"/>
        </w:rPr>
      </w:pPr>
    </w:p>
    <w:p>
      <w:pPr>
        <w:pStyle w:val="BodyText"/>
        <w:rPr>
          <w:i/>
          <w:sz w:val="20"/>
        </w:rPr>
      </w:pPr>
    </w:p>
    <w:p>
      <w:pPr>
        <w:pStyle w:val="BodyText"/>
        <w:spacing w:line="480" w:lineRule="auto" w:before="205"/>
        <w:ind w:left="586" w:right="805"/>
        <w:jc w:val="both"/>
      </w:pPr>
      <w:r>
        <w:rPr>
          <w:i/>
        </w:rPr>
        <w:t>On Equity </w:t>
      </w:r>
      <w:r>
        <w:rPr/>
        <w:t>dan Harga Saham Pada Perusahaan Sub Sektor Semen Yang Terdaftar Di Bursa Efek Indonesia.</w:t>
      </w:r>
    </w:p>
    <w:p>
      <w:pPr>
        <w:pStyle w:val="Heading3"/>
        <w:numPr>
          <w:ilvl w:val="2"/>
          <w:numId w:val="7"/>
        </w:numPr>
        <w:tabs>
          <w:tab w:pos="1153" w:val="left" w:leader="none"/>
        </w:tabs>
        <w:spacing w:line="240" w:lineRule="auto" w:before="5" w:after="0"/>
        <w:ind w:left="1153" w:right="0" w:hanging="567"/>
        <w:jc w:val="both"/>
      </w:pPr>
      <w:bookmarkStart w:name="_TOC_250012" w:id="14"/>
      <w:r>
        <w:rPr/>
        <w:t>Tujuan</w:t>
      </w:r>
      <w:r>
        <w:rPr>
          <w:spacing w:val="1"/>
        </w:rPr>
        <w:t> </w:t>
      </w:r>
      <w:bookmarkEnd w:id="14"/>
      <w:r>
        <w:rPr/>
        <w:t>Penelitian</w:t>
      </w:r>
    </w:p>
    <w:p>
      <w:pPr>
        <w:pStyle w:val="BodyText"/>
        <w:spacing w:before="6"/>
        <w:rPr>
          <w:b/>
          <w:sz w:val="23"/>
        </w:rPr>
      </w:pPr>
    </w:p>
    <w:p>
      <w:pPr>
        <w:pStyle w:val="BodyText"/>
        <w:spacing w:line="480" w:lineRule="auto"/>
        <w:ind w:left="586" w:right="792" w:firstLine="566"/>
        <w:jc w:val="both"/>
      </w:pPr>
      <w:r>
        <w:rPr/>
        <w:t>Berdasarkan masalah di atas, tujuan penelitian yang ingin dicapai adalah untuk menemukan dan menganalisis dampak Return On Assets dan Return On Equity terhadap harga saham perusahaan sub sektor </w:t>
      </w:r>
      <w:r>
        <w:rPr>
          <w:spacing w:val="-3"/>
        </w:rPr>
        <w:t>semen </w:t>
      </w:r>
      <w:r>
        <w:rPr/>
        <w:t>yang terdaftar di  Bursa Efek</w:t>
      </w:r>
      <w:r>
        <w:rPr>
          <w:spacing w:val="2"/>
        </w:rPr>
        <w:t> </w:t>
      </w:r>
      <w:r>
        <w:rPr/>
        <w:t>Indonesia.</w:t>
      </w:r>
    </w:p>
    <w:p>
      <w:pPr>
        <w:pStyle w:val="Heading3"/>
        <w:numPr>
          <w:ilvl w:val="1"/>
          <w:numId w:val="6"/>
        </w:numPr>
        <w:tabs>
          <w:tab w:pos="947" w:val="left" w:leader="none"/>
        </w:tabs>
        <w:spacing w:line="240" w:lineRule="auto" w:before="6" w:after="0"/>
        <w:ind w:left="946" w:right="0" w:hanging="361"/>
        <w:jc w:val="both"/>
      </w:pPr>
      <w:bookmarkStart w:name="_TOC_250011" w:id="15"/>
      <w:r>
        <w:rPr/>
        <w:t>Manfaat</w:t>
      </w:r>
      <w:r>
        <w:rPr>
          <w:spacing w:val="2"/>
        </w:rPr>
        <w:t> </w:t>
      </w:r>
      <w:bookmarkEnd w:id="15"/>
      <w:r>
        <w:rPr/>
        <w:t>Penelitian</w:t>
      </w:r>
    </w:p>
    <w:p>
      <w:pPr>
        <w:pStyle w:val="BodyText"/>
        <w:spacing w:before="7"/>
        <w:rPr>
          <w:b/>
          <w:sz w:val="23"/>
        </w:rPr>
      </w:pPr>
    </w:p>
    <w:p>
      <w:pPr>
        <w:pStyle w:val="BodyText"/>
        <w:spacing w:line="480" w:lineRule="auto"/>
        <w:ind w:left="586" w:right="798" w:firstLine="566"/>
        <w:jc w:val="both"/>
      </w:pPr>
      <w:r>
        <w:rPr/>
        <w:t>Berdasarkan uraian latar belakang di atas, maka manfaat penelitian yang dapat dikemukakan pada penelitian ini adalah:</w:t>
      </w:r>
    </w:p>
    <w:p>
      <w:pPr>
        <w:pStyle w:val="ListParagraph"/>
        <w:numPr>
          <w:ilvl w:val="2"/>
          <w:numId w:val="6"/>
        </w:numPr>
        <w:tabs>
          <w:tab w:pos="1307" w:val="left" w:leader="none"/>
        </w:tabs>
        <w:spacing w:line="240" w:lineRule="auto" w:before="1" w:after="0"/>
        <w:ind w:left="1306" w:right="0" w:hanging="361"/>
        <w:jc w:val="both"/>
        <w:rPr>
          <w:sz w:val="24"/>
        </w:rPr>
      </w:pPr>
      <w:r>
        <w:rPr>
          <w:sz w:val="24"/>
        </w:rPr>
        <w:t>Manfaat</w:t>
      </w:r>
      <w:r>
        <w:rPr>
          <w:spacing w:val="6"/>
          <w:sz w:val="24"/>
        </w:rPr>
        <w:t> </w:t>
      </w:r>
      <w:r>
        <w:rPr>
          <w:sz w:val="24"/>
        </w:rPr>
        <w:t>Teoritis</w:t>
      </w:r>
    </w:p>
    <w:p>
      <w:pPr>
        <w:pStyle w:val="BodyText"/>
        <w:spacing w:before="11"/>
        <w:rPr>
          <w:sz w:val="23"/>
        </w:rPr>
      </w:pPr>
    </w:p>
    <w:p>
      <w:pPr>
        <w:pStyle w:val="BodyText"/>
        <w:spacing w:line="480" w:lineRule="auto"/>
        <w:ind w:left="1306" w:right="798"/>
        <w:jc w:val="both"/>
      </w:pPr>
      <w:r>
        <w:rPr/>
        <w:t>Penelitian ini diharapkan bisa memberikan manfaat sebagai bahan referensi dibidang </w:t>
      </w:r>
      <w:r>
        <w:rPr>
          <w:spacing w:val="-3"/>
        </w:rPr>
        <w:t>ilmu </w:t>
      </w:r>
      <w:r>
        <w:rPr/>
        <w:t>pengetahuan khususnya manajemen keuangan serta mengembangkan </w:t>
      </w:r>
      <w:r>
        <w:rPr>
          <w:spacing w:val="-3"/>
        </w:rPr>
        <w:t>ilmu </w:t>
      </w:r>
      <w:r>
        <w:rPr/>
        <w:t>tersebut yang ada hubungannya dengan </w:t>
      </w:r>
      <w:r>
        <w:rPr>
          <w:i/>
        </w:rPr>
        <w:t>Return </w:t>
      </w:r>
      <w:r>
        <w:rPr>
          <w:i/>
        </w:rPr>
        <w:t>On Assets, Return On Equity </w:t>
      </w:r>
      <w:r>
        <w:rPr/>
        <w:t>dan Harga</w:t>
      </w:r>
      <w:r>
        <w:rPr>
          <w:spacing w:val="4"/>
        </w:rPr>
        <w:t> </w:t>
      </w:r>
      <w:r>
        <w:rPr/>
        <w:t>Saham</w:t>
      </w:r>
    </w:p>
    <w:p>
      <w:pPr>
        <w:pStyle w:val="ListParagraph"/>
        <w:numPr>
          <w:ilvl w:val="2"/>
          <w:numId w:val="6"/>
        </w:numPr>
        <w:tabs>
          <w:tab w:pos="1307" w:val="left" w:leader="none"/>
        </w:tabs>
        <w:spacing w:line="240" w:lineRule="auto" w:before="1" w:after="0"/>
        <w:ind w:left="1306" w:right="0" w:hanging="361"/>
        <w:jc w:val="both"/>
        <w:rPr>
          <w:sz w:val="24"/>
        </w:rPr>
      </w:pPr>
      <w:r>
        <w:rPr>
          <w:sz w:val="24"/>
        </w:rPr>
        <w:t>Manfaat</w:t>
      </w:r>
      <w:r>
        <w:rPr>
          <w:spacing w:val="6"/>
          <w:sz w:val="24"/>
        </w:rPr>
        <w:t> </w:t>
      </w:r>
      <w:r>
        <w:rPr>
          <w:spacing w:val="-3"/>
          <w:sz w:val="24"/>
        </w:rPr>
        <w:t>Praktis</w:t>
      </w:r>
    </w:p>
    <w:p>
      <w:pPr>
        <w:pStyle w:val="BodyText"/>
      </w:pPr>
    </w:p>
    <w:p>
      <w:pPr>
        <w:pStyle w:val="BodyText"/>
        <w:spacing w:line="480" w:lineRule="auto"/>
        <w:ind w:left="1306" w:right="797"/>
        <w:jc w:val="both"/>
      </w:pPr>
      <w:r>
        <w:rPr/>
        <w:t>Diharapkan penelitian ini menjadi bahan masukan untuk menyampaikan informasi kepada pihak yang terkait </w:t>
      </w:r>
      <w:r>
        <w:rPr>
          <w:spacing w:val="-3"/>
        </w:rPr>
        <w:t>baik </w:t>
      </w:r>
      <w:r>
        <w:rPr/>
        <w:t>itu internal perusahaan maupun pihak eksternal dalam hal ini investor serta menjadi bahan pertimbangan untuk perbaikan perusahaan terutama masalah yang berkaitan dengan harga saham.</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Heading2"/>
        <w:spacing w:before="206"/>
        <w:ind w:right="1232"/>
      </w:pPr>
      <w:r>
        <w:rPr/>
        <w:t>BAB II</w:t>
      </w:r>
    </w:p>
    <w:p>
      <w:pPr>
        <w:pStyle w:val="BodyText"/>
        <w:spacing w:before="1"/>
        <w:rPr>
          <w:b/>
          <w:sz w:val="42"/>
        </w:rPr>
      </w:pPr>
    </w:p>
    <w:p>
      <w:pPr>
        <w:spacing w:line="480" w:lineRule="auto" w:before="0"/>
        <w:ind w:left="1028" w:right="1244" w:firstLine="0"/>
        <w:jc w:val="center"/>
        <w:rPr>
          <w:b/>
          <w:sz w:val="28"/>
        </w:rPr>
      </w:pPr>
      <w:r>
        <w:rPr>
          <w:b/>
          <w:sz w:val="28"/>
        </w:rPr>
        <w:t>TINJAUAN PUSTAKA, KERANGKA PEMIKIRAN DAN HIPOTESIS</w:t>
      </w:r>
    </w:p>
    <w:p>
      <w:pPr>
        <w:pStyle w:val="Heading3"/>
        <w:numPr>
          <w:ilvl w:val="1"/>
          <w:numId w:val="8"/>
        </w:numPr>
        <w:tabs>
          <w:tab w:pos="1014" w:val="left" w:leader="none"/>
        </w:tabs>
        <w:spacing w:line="240" w:lineRule="auto" w:before="3" w:after="0"/>
        <w:ind w:left="1013" w:right="0" w:hanging="428"/>
        <w:jc w:val="both"/>
      </w:pPr>
      <w:bookmarkStart w:name="_TOC_250010" w:id="16"/>
      <w:r>
        <w:rPr/>
        <w:t>Kajian</w:t>
      </w:r>
      <w:r>
        <w:rPr>
          <w:spacing w:val="2"/>
        </w:rPr>
        <w:t> </w:t>
      </w:r>
      <w:bookmarkEnd w:id="16"/>
      <w:r>
        <w:rPr/>
        <w:t>Pustaka</w:t>
      </w:r>
    </w:p>
    <w:p>
      <w:pPr>
        <w:pStyle w:val="BodyText"/>
        <w:rPr>
          <w:b/>
        </w:rPr>
      </w:pPr>
    </w:p>
    <w:p>
      <w:pPr>
        <w:pStyle w:val="Heading3"/>
        <w:numPr>
          <w:ilvl w:val="2"/>
          <w:numId w:val="8"/>
        </w:numPr>
        <w:tabs>
          <w:tab w:pos="1153" w:val="left" w:leader="none"/>
        </w:tabs>
        <w:spacing w:line="240" w:lineRule="auto" w:before="0" w:after="0"/>
        <w:ind w:left="1153" w:right="0" w:hanging="567"/>
        <w:jc w:val="both"/>
      </w:pPr>
      <w:bookmarkStart w:name="_TOC_250009" w:id="17"/>
      <w:r>
        <w:rPr/>
        <w:t>Pengertian</w:t>
      </w:r>
      <w:r>
        <w:rPr>
          <w:spacing w:val="2"/>
        </w:rPr>
        <w:t> </w:t>
      </w:r>
      <w:bookmarkEnd w:id="17"/>
      <w:r>
        <w:rPr/>
        <w:t>Profitabilitas</w:t>
      </w:r>
    </w:p>
    <w:p>
      <w:pPr>
        <w:pStyle w:val="BodyText"/>
        <w:spacing w:before="6"/>
        <w:rPr>
          <w:b/>
          <w:sz w:val="23"/>
        </w:rPr>
      </w:pPr>
    </w:p>
    <w:p>
      <w:pPr>
        <w:pStyle w:val="BodyText"/>
        <w:spacing w:line="480" w:lineRule="auto" w:before="1"/>
        <w:ind w:left="586" w:right="798" w:firstLine="566"/>
        <w:jc w:val="both"/>
      </w:pPr>
      <w:r>
        <w:rPr/>
        <w:t>Profitabilitas digunakan untuk mengukur tingkat profitabilitas suatu perusahaan atau disebut </w:t>
      </w:r>
      <w:r>
        <w:rPr>
          <w:spacing w:val="-3"/>
        </w:rPr>
        <w:t>juga </w:t>
      </w:r>
      <w:r>
        <w:rPr/>
        <w:t>suku bunga. Menurut </w:t>
      </w:r>
      <w:r>
        <w:rPr>
          <w:spacing w:val="-3"/>
        </w:rPr>
        <w:t>Kasmir </w:t>
      </w:r>
      <w:r>
        <w:rPr/>
        <w:t>(2017 : 196) Marjin laba adalah rasio yang mengevaluasi kemampuan perusahaan untuk menemukan laba, dapat dinyatakan dalam bentuk </w:t>
      </w:r>
      <w:r>
        <w:rPr>
          <w:spacing w:val="-3"/>
        </w:rPr>
        <w:t>laba </w:t>
      </w:r>
      <w:r>
        <w:rPr/>
        <w:t>yang dihasilkan oleh penjualan dan pendapatan investasi, atau dapat digunakan dengan membandingkan berbagai komponen dalam neraca. Nilai laporan keuangan, terutama neraca dan laporan laba rugi laporan</w:t>
      </w:r>
      <w:r>
        <w:rPr>
          <w:spacing w:val="-6"/>
        </w:rPr>
        <w:t> </w:t>
      </w:r>
      <w:r>
        <w:rPr/>
        <w:t>keuangan.</w:t>
      </w:r>
    </w:p>
    <w:p>
      <w:pPr>
        <w:pStyle w:val="BodyText"/>
        <w:spacing w:line="480" w:lineRule="auto" w:before="1"/>
        <w:ind w:left="572" w:right="794" w:firstLine="580"/>
        <w:jc w:val="both"/>
      </w:pPr>
      <w:r>
        <w:rPr/>
        <w:t>Agus Sartono (2012 : 122) Profitabilitas adalah kemampuan perusahaan untuk memperoleh laba terkait modal sendiri, penjualan, total aset. Dengan mencapai target laba maksimum, perusahaan dapat melakukan banyak hal untuk kesejahteraan pemilik dan karyawan, meningkatkan kualitas produk dan melakukan investasi baru. Oleh karena itu, dalam praktiknya, manajemen perusahaan diperlukan untuk mencapai tujuan yang ditetapkan.</w:t>
      </w:r>
    </w:p>
    <w:p>
      <w:pPr>
        <w:pStyle w:val="BodyText"/>
        <w:spacing w:line="480" w:lineRule="auto" w:before="2"/>
        <w:ind w:left="572" w:right="796" w:firstLine="580"/>
        <w:jc w:val="both"/>
      </w:pPr>
      <w:r>
        <w:rPr/>
        <w:t>Harahap (2013 : 300) mengemukakan bahwa Profitabilitas adalah kemampuan perusahaan untuk menghasilkan laba </w:t>
      </w:r>
      <w:r>
        <w:rPr>
          <w:spacing w:val="-3"/>
        </w:rPr>
        <w:t>yang </w:t>
      </w:r>
      <w:r>
        <w:rPr/>
        <w:t>digambarkan oleh laba  atas investasi (ROI). Dia melihat bahwa pengembalian investasi dijelaskan lebih terinci melalui margin keuntungan dan perputaran </w:t>
      </w:r>
      <w:r>
        <w:rPr>
          <w:spacing w:val="-3"/>
        </w:rPr>
        <w:t>modal. </w:t>
      </w:r>
      <w:r>
        <w:rPr/>
        <w:t>Pada saat </w:t>
      </w:r>
      <w:r>
        <w:rPr>
          <w:spacing w:val="-3"/>
        </w:rPr>
        <w:t>yang </w:t>
      </w:r>
      <w:r>
        <w:rPr/>
        <w:t>sama, menurut Eugene (2006 : 107) profitabilitas adalah hasil akhir dari</w:t>
      </w:r>
      <w:r>
        <w:rPr>
          <w:spacing w:val="34"/>
        </w:rPr>
        <w:t> </w:t>
      </w:r>
      <w:r>
        <w:rPr/>
        <w:t>banyak</w:t>
      </w:r>
    </w:p>
    <w:p>
      <w:pPr>
        <w:spacing w:after="0" w:line="480" w:lineRule="auto"/>
        <w:jc w:val="both"/>
        <w:sectPr>
          <w:footerReference w:type="default" r:id="rId14"/>
          <w:pgSz w:w="11910" w:h="16840"/>
          <w:pgMar w:footer="0" w:header="0" w:top="1580" w:bottom="280" w:left="1680" w:right="900"/>
        </w:sectPr>
      </w:pPr>
    </w:p>
    <w:p>
      <w:pPr>
        <w:pStyle w:val="BodyText"/>
        <w:rPr>
          <w:sz w:val="20"/>
        </w:rPr>
      </w:pPr>
    </w:p>
    <w:p>
      <w:pPr>
        <w:pStyle w:val="BodyText"/>
        <w:rPr>
          <w:sz w:val="20"/>
        </w:rPr>
      </w:pPr>
    </w:p>
    <w:p>
      <w:pPr>
        <w:pStyle w:val="BodyText"/>
        <w:spacing w:line="480" w:lineRule="auto" w:before="205"/>
        <w:ind w:left="572" w:right="795"/>
        <w:jc w:val="both"/>
      </w:pPr>
      <w:r>
        <w:rPr/>
        <w:t>kebijakan dan keputusan yang dibuat oleh perusahaan. Rasio yang dibahas sejauh ini dapat memberikan tips yang berguna untuk menilai efektivitas operasi perusahaan, tetapi rasio profitabilitas akan menunjukkan dampak gabungan dari likuiditas, manajemen aset, dan utang pada hasil operasi.</w:t>
      </w:r>
    </w:p>
    <w:p>
      <w:pPr>
        <w:pStyle w:val="BodyText"/>
        <w:spacing w:line="480" w:lineRule="auto"/>
        <w:ind w:left="572" w:right="796" w:firstLine="580"/>
        <w:jc w:val="both"/>
      </w:pPr>
      <w:r>
        <w:rPr/>
        <w:t>Santi Oktaviani mengemukakan bahwa Profitabilitas adalah rasio laba (setelah pajak) dengan modal (modal inti) atau laba sebelum pajak dari total aset yang dimiliki oleh bank dalam periode waktu tertentu (Santi Octaviani &amp; Komalasarai, 2017). Jika perusahaan diyakini dapat menghasilkan laba dengan membeli sahamnya dan memiliki prospek masa depan yang baik, sehingga mendorong harga saham naik, investor akan menginvestasikan sejumlah besar modal di perusahaan. Salah satu cara untuk mengukur profitabilitas adalah dengan menggunakan pengembalian aset untuk menggambarkan kemampuan perusahaan untuk menghasilkan keuntungan dari semua asetnya (Santi Octaviani &amp; Komalasarai, 2017).</w:t>
      </w:r>
    </w:p>
    <w:p>
      <w:pPr>
        <w:pStyle w:val="BodyText"/>
        <w:spacing w:line="480" w:lineRule="auto" w:before="2"/>
        <w:ind w:left="572" w:right="803" w:firstLine="580"/>
        <w:jc w:val="both"/>
      </w:pPr>
      <w:r>
        <w:rPr/>
        <w:t>Sedangkan menurut Irham Fahmi (2013 : 80) profitabilitas ini mengukur efektivitas manajemen secara keseluruhan yang ditujukan oleh besar kecilnya tingkat keuntungan yang diperoleh dalam hubungannya dengan penjualan maupun investasi. Semakin baik profitabilitas maka semakin baik menggambarkan kemampuan tingginya perolehan keuntungan perusahaan.</w:t>
      </w:r>
    </w:p>
    <w:p>
      <w:pPr>
        <w:pStyle w:val="Heading3"/>
        <w:numPr>
          <w:ilvl w:val="2"/>
          <w:numId w:val="8"/>
        </w:numPr>
        <w:tabs>
          <w:tab w:pos="1153" w:val="left" w:leader="none"/>
        </w:tabs>
        <w:spacing w:line="240" w:lineRule="auto" w:before="165" w:after="0"/>
        <w:ind w:left="1153" w:right="0" w:hanging="567"/>
        <w:jc w:val="both"/>
      </w:pPr>
      <w:bookmarkStart w:name="_TOC_250008" w:id="18"/>
      <w:r>
        <w:rPr/>
        <w:t>Tujuan dan Manfaat</w:t>
      </w:r>
      <w:r>
        <w:rPr>
          <w:spacing w:val="2"/>
        </w:rPr>
        <w:t> </w:t>
      </w:r>
      <w:bookmarkEnd w:id="18"/>
      <w:r>
        <w:rPr/>
        <w:t>Profitabilitas</w:t>
      </w:r>
    </w:p>
    <w:p>
      <w:pPr>
        <w:pStyle w:val="BodyText"/>
        <w:spacing w:line="480" w:lineRule="auto" w:before="180"/>
        <w:ind w:left="572" w:right="795" w:firstLine="580"/>
        <w:jc w:val="both"/>
      </w:pPr>
      <w:r>
        <w:rPr/>
        <w:t>Bagi Untuk perusahaan dan orang luar, tergantung pada tujuan penggunaan profitabilitas menurut Kasmir (2017 : 197) yaitu:</w:t>
      </w:r>
    </w:p>
    <w:p>
      <w:pPr>
        <w:pStyle w:val="ListParagraph"/>
        <w:numPr>
          <w:ilvl w:val="3"/>
          <w:numId w:val="8"/>
        </w:numPr>
        <w:tabs>
          <w:tab w:pos="1307" w:val="left" w:leader="none"/>
        </w:tabs>
        <w:spacing w:line="240" w:lineRule="auto" w:before="0" w:after="0"/>
        <w:ind w:left="1306" w:right="0" w:hanging="361"/>
        <w:jc w:val="both"/>
        <w:rPr>
          <w:sz w:val="24"/>
        </w:rPr>
      </w:pPr>
      <w:r>
        <w:rPr>
          <w:sz w:val="24"/>
        </w:rPr>
        <w:t>Menilai perkembangan pendapatan dari waktu ke</w:t>
      </w:r>
      <w:r>
        <w:rPr>
          <w:spacing w:val="-18"/>
          <w:sz w:val="24"/>
        </w:rPr>
        <w:t> </w:t>
      </w:r>
      <w:r>
        <w:rPr>
          <w:sz w:val="24"/>
        </w:rPr>
        <w:t>waktu.</w:t>
      </w:r>
    </w:p>
    <w:p>
      <w:pPr>
        <w:spacing w:after="0" w:line="240" w:lineRule="auto"/>
        <w:jc w:val="both"/>
        <w:rPr>
          <w:sz w:val="24"/>
        </w:rPr>
        <w:sectPr>
          <w:footerReference w:type="default" r:id="rId15"/>
          <w:pgSz w:w="11910" w:h="16840"/>
          <w:pgMar w:footer="998" w:header="0" w:top="1580" w:bottom="1180" w:left="1680" w:right="900"/>
          <w:pgNumType w:start="9"/>
        </w:sectPr>
      </w:pPr>
    </w:p>
    <w:p>
      <w:pPr>
        <w:pStyle w:val="BodyText"/>
        <w:rPr>
          <w:sz w:val="20"/>
        </w:rPr>
      </w:pPr>
    </w:p>
    <w:p>
      <w:pPr>
        <w:pStyle w:val="BodyText"/>
        <w:rPr>
          <w:sz w:val="20"/>
        </w:rPr>
      </w:pPr>
    </w:p>
    <w:p>
      <w:pPr>
        <w:pStyle w:val="ListParagraph"/>
        <w:numPr>
          <w:ilvl w:val="3"/>
          <w:numId w:val="8"/>
        </w:numPr>
        <w:tabs>
          <w:tab w:pos="1307" w:val="left" w:leader="none"/>
        </w:tabs>
        <w:spacing w:line="240" w:lineRule="auto" w:before="205" w:after="0"/>
        <w:ind w:left="1306" w:right="0" w:hanging="361"/>
        <w:jc w:val="left"/>
        <w:rPr>
          <w:sz w:val="24"/>
        </w:rPr>
      </w:pPr>
      <w:r>
        <w:rPr>
          <w:sz w:val="24"/>
        </w:rPr>
        <w:t>Mengukur atau menghitung laba perusahaan dalam periode</w:t>
      </w:r>
      <w:r>
        <w:rPr>
          <w:spacing w:val="3"/>
          <w:sz w:val="24"/>
        </w:rPr>
        <w:t> </w:t>
      </w:r>
      <w:r>
        <w:rPr>
          <w:sz w:val="24"/>
        </w:rPr>
        <w:t>tertentu.</w:t>
      </w:r>
    </w:p>
    <w:p>
      <w:pPr>
        <w:pStyle w:val="BodyText"/>
      </w:pPr>
    </w:p>
    <w:p>
      <w:pPr>
        <w:pStyle w:val="ListParagraph"/>
        <w:numPr>
          <w:ilvl w:val="3"/>
          <w:numId w:val="8"/>
        </w:numPr>
        <w:tabs>
          <w:tab w:pos="1307" w:val="left" w:leader="none"/>
        </w:tabs>
        <w:spacing w:line="480" w:lineRule="auto" w:before="0" w:after="0"/>
        <w:ind w:left="1306" w:right="802" w:hanging="360"/>
        <w:jc w:val="left"/>
        <w:rPr>
          <w:sz w:val="24"/>
        </w:rPr>
      </w:pPr>
      <w:r>
        <w:rPr>
          <w:sz w:val="24"/>
        </w:rPr>
        <w:t>Mengevaluasi laba perusahaan untuk tahun sebelumnya dan tahun berjalan.</w:t>
      </w:r>
    </w:p>
    <w:p>
      <w:pPr>
        <w:pStyle w:val="ListParagraph"/>
        <w:numPr>
          <w:ilvl w:val="3"/>
          <w:numId w:val="8"/>
        </w:numPr>
        <w:tabs>
          <w:tab w:pos="1307" w:val="left" w:leader="none"/>
        </w:tabs>
        <w:spacing w:line="480" w:lineRule="auto" w:before="0" w:after="0"/>
        <w:ind w:left="1306" w:right="806" w:hanging="360"/>
        <w:jc w:val="left"/>
        <w:rPr>
          <w:sz w:val="24"/>
        </w:rPr>
      </w:pPr>
      <w:r>
        <w:rPr>
          <w:sz w:val="24"/>
        </w:rPr>
        <w:t>Mengukur produktivitas semua dana perusahaan </w:t>
      </w:r>
      <w:r>
        <w:rPr>
          <w:spacing w:val="-3"/>
          <w:sz w:val="24"/>
        </w:rPr>
        <w:t>yang </w:t>
      </w:r>
      <w:r>
        <w:rPr>
          <w:sz w:val="24"/>
        </w:rPr>
        <w:t>digunakan untuk meminjam dana dan memiliki dana</w:t>
      </w:r>
      <w:r>
        <w:rPr>
          <w:spacing w:val="-8"/>
          <w:sz w:val="24"/>
        </w:rPr>
        <w:t> </w:t>
      </w:r>
      <w:r>
        <w:rPr>
          <w:sz w:val="24"/>
        </w:rPr>
        <w:t>sendiri.</w:t>
      </w:r>
    </w:p>
    <w:p>
      <w:pPr>
        <w:pStyle w:val="ListParagraph"/>
        <w:numPr>
          <w:ilvl w:val="3"/>
          <w:numId w:val="8"/>
        </w:numPr>
        <w:tabs>
          <w:tab w:pos="1307" w:val="left" w:leader="none"/>
        </w:tabs>
        <w:spacing w:line="240" w:lineRule="auto" w:before="0" w:after="0"/>
        <w:ind w:left="1306" w:right="0" w:hanging="361"/>
        <w:jc w:val="left"/>
        <w:rPr>
          <w:sz w:val="24"/>
        </w:rPr>
      </w:pPr>
      <w:r>
        <w:rPr>
          <w:sz w:val="24"/>
        </w:rPr>
        <w:t>Gunakan dana Anda sendiri untuk menilai laba bersih setelah</w:t>
      </w:r>
      <w:r>
        <w:rPr>
          <w:spacing w:val="-8"/>
          <w:sz w:val="24"/>
        </w:rPr>
        <w:t> </w:t>
      </w:r>
      <w:r>
        <w:rPr>
          <w:sz w:val="24"/>
        </w:rPr>
        <w:t>pajak.</w:t>
      </w:r>
    </w:p>
    <w:p>
      <w:pPr>
        <w:pStyle w:val="BodyText"/>
      </w:pPr>
    </w:p>
    <w:p>
      <w:pPr>
        <w:pStyle w:val="BodyText"/>
        <w:spacing w:line="480" w:lineRule="auto"/>
        <w:ind w:left="586" w:right="794" w:firstLine="667"/>
      </w:pPr>
      <w:r>
        <w:rPr/>
        <w:t>Sementara itu manfaat yang diperoleh menurut Kasmir (2017:198) adalah sebagai berikut:</w:t>
      </w:r>
    </w:p>
    <w:p>
      <w:pPr>
        <w:pStyle w:val="ListParagraph"/>
        <w:numPr>
          <w:ilvl w:val="4"/>
          <w:numId w:val="8"/>
        </w:numPr>
        <w:tabs>
          <w:tab w:pos="1514" w:val="left" w:leader="none"/>
        </w:tabs>
        <w:spacing w:line="480" w:lineRule="auto" w:before="1" w:after="0"/>
        <w:ind w:left="1513" w:right="802" w:hanging="361"/>
        <w:jc w:val="left"/>
        <w:rPr>
          <w:sz w:val="24"/>
        </w:rPr>
      </w:pPr>
      <w:r>
        <w:rPr>
          <w:sz w:val="24"/>
        </w:rPr>
        <w:t>Mengetahui besarnya tingkat </w:t>
      </w:r>
      <w:r>
        <w:rPr>
          <w:spacing w:val="-3"/>
          <w:sz w:val="24"/>
        </w:rPr>
        <w:t>laba </w:t>
      </w:r>
      <w:r>
        <w:rPr>
          <w:sz w:val="24"/>
        </w:rPr>
        <w:t>yang diperoleh perusahaan dalam satu periode.</w:t>
      </w:r>
    </w:p>
    <w:p>
      <w:pPr>
        <w:pStyle w:val="ListParagraph"/>
        <w:numPr>
          <w:ilvl w:val="4"/>
          <w:numId w:val="8"/>
        </w:numPr>
        <w:tabs>
          <w:tab w:pos="1514" w:val="left" w:leader="none"/>
        </w:tabs>
        <w:spacing w:line="480" w:lineRule="auto" w:before="1" w:after="0"/>
        <w:ind w:left="1513" w:right="795" w:hanging="361"/>
        <w:jc w:val="left"/>
        <w:rPr>
          <w:sz w:val="24"/>
        </w:rPr>
      </w:pPr>
      <w:r>
        <w:rPr>
          <w:sz w:val="24"/>
        </w:rPr>
        <w:t>Mengetahui posisi laba perusahaan tahun sebelumnya dengan tahun sekarang.</w:t>
      </w:r>
    </w:p>
    <w:p>
      <w:pPr>
        <w:pStyle w:val="ListParagraph"/>
        <w:numPr>
          <w:ilvl w:val="4"/>
          <w:numId w:val="8"/>
        </w:numPr>
        <w:tabs>
          <w:tab w:pos="1514" w:val="left" w:leader="none"/>
        </w:tabs>
        <w:spacing w:line="240" w:lineRule="auto" w:before="0" w:after="0"/>
        <w:ind w:left="1513" w:right="0" w:hanging="361"/>
        <w:jc w:val="left"/>
        <w:rPr>
          <w:sz w:val="24"/>
        </w:rPr>
      </w:pPr>
      <w:r>
        <w:rPr>
          <w:sz w:val="24"/>
        </w:rPr>
        <w:t>Mengetahui perkembangan </w:t>
      </w:r>
      <w:r>
        <w:rPr>
          <w:spacing w:val="-3"/>
          <w:sz w:val="24"/>
        </w:rPr>
        <w:t>laba </w:t>
      </w:r>
      <w:r>
        <w:rPr>
          <w:sz w:val="24"/>
        </w:rPr>
        <w:t>dari waktu ke</w:t>
      </w:r>
      <w:r>
        <w:rPr>
          <w:spacing w:val="-5"/>
          <w:sz w:val="24"/>
        </w:rPr>
        <w:t> </w:t>
      </w:r>
      <w:r>
        <w:rPr>
          <w:sz w:val="24"/>
        </w:rPr>
        <w:t>waktu.</w:t>
      </w:r>
    </w:p>
    <w:p>
      <w:pPr>
        <w:pStyle w:val="BodyText"/>
      </w:pPr>
    </w:p>
    <w:p>
      <w:pPr>
        <w:pStyle w:val="ListParagraph"/>
        <w:numPr>
          <w:ilvl w:val="4"/>
          <w:numId w:val="8"/>
        </w:numPr>
        <w:tabs>
          <w:tab w:pos="1514" w:val="left" w:leader="none"/>
        </w:tabs>
        <w:spacing w:line="240" w:lineRule="auto" w:before="0" w:after="0"/>
        <w:ind w:left="1513" w:right="0" w:hanging="361"/>
        <w:jc w:val="left"/>
        <w:rPr>
          <w:sz w:val="24"/>
        </w:rPr>
      </w:pPr>
      <w:r>
        <w:rPr>
          <w:sz w:val="24"/>
        </w:rPr>
        <w:t>Mengetahui besarnya laba bersih sesudah pajak dengan modal</w:t>
      </w:r>
      <w:r>
        <w:rPr>
          <w:spacing w:val="-1"/>
          <w:sz w:val="24"/>
        </w:rPr>
        <w:t> </w:t>
      </w:r>
      <w:r>
        <w:rPr>
          <w:sz w:val="24"/>
        </w:rPr>
        <w:t>sendiri.</w:t>
      </w:r>
    </w:p>
    <w:p>
      <w:pPr>
        <w:pStyle w:val="BodyText"/>
      </w:pPr>
    </w:p>
    <w:p>
      <w:pPr>
        <w:pStyle w:val="ListParagraph"/>
        <w:numPr>
          <w:ilvl w:val="4"/>
          <w:numId w:val="8"/>
        </w:numPr>
        <w:tabs>
          <w:tab w:pos="1514" w:val="left" w:leader="none"/>
        </w:tabs>
        <w:spacing w:line="480" w:lineRule="auto" w:before="0" w:after="0"/>
        <w:ind w:left="1513" w:right="802" w:hanging="361"/>
        <w:jc w:val="both"/>
        <w:rPr>
          <w:sz w:val="24"/>
        </w:rPr>
      </w:pPr>
      <w:r>
        <w:rPr>
          <w:sz w:val="24"/>
        </w:rPr>
        <w:t>Mengetahui produktivitas dari seluruh dana perusahaan </w:t>
      </w:r>
      <w:r>
        <w:rPr>
          <w:spacing w:val="-3"/>
          <w:sz w:val="24"/>
        </w:rPr>
        <w:t>yang </w:t>
      </w:r>
      <w:r>
        <w:rPr>
          <w:sz w:val="24"/>
        </w:rPr>
        <w:t>digunakan baik modal pinjaman maupun modal</w:t>
      </w:r>
      <w:r>
        <w:rPr>
          <w:spacing w:val="-7"/>
          <w:sz w:val="24"/>
        </w:rPr>
        <w:t> </w:t>
      </w:r>
      <w:r>
        <w:rPr>
          <w:sz w:val="24"/>
        </w:rPr>
        <w:t>sendiri.</w:t>
      </w:r>
    </w:p>
    <w:p>
      <w:pPr>
        <w:pStyle w:val="ListParagraph"/>
        <w:numPr>
          <w:ilvl w:val="2"/>
          <w:numId w:val="8"/>
        </w:numPr>
        <w:tabs>
          <w:tab w:pos="1153" w:val="left" w:leader="none"/>
        </w:tabs>
        <w:spacing w:line="240" w:lineRule="auto" w:before="6" w:after="0"/>
        <w:ind w:left="1153" w:right="0" w:hanging="567"/>
        <w:jc w:val="both"/>
        <w:rPr>
          <w:b/>
          <w:sz w:val="24"/>
        </w:rPr>
      </w:pPr>
      <w:r>
        <w:rPr>
          <w:b/>
          <w:sz w:val="24"/>
        </w:rPr>
        <w:t>Pengertian </w:t>
      </w:r>
      <w:r>
        <w:rPr>
          <w:b/>
          <w:i/>
          <w:sz w:val="24"/>
        </w:rPr>
        <w:t>Return On Assets</w:t>
      </w:r>
      <w:r>
        <w:rPr>
          <w:b/>
          <w:i/>
          <w:spacing w:val="9"/>
          <w:sz w:val="24"/>
        </w:rPr>
        <w:t> </w:t>
      </w:r>
      <w:r>
        <w:rPr>
          <w:b/>
          <w:sz w:val="24"/>
        </w:rPr>
        <w:t>(ROA)</w:t>
      </w:r>
    </w:p>
    <w:p>
      <w:pPr>
        <w:pStyle w:val="BodyText"/>
        <w:spacing w:before="6"/>
        <w:rPr>
          <w:b/>
          <w:sz w:val="23"/>
        </w:rPr>
      </w:pPr>
    </w:p>
    <w:p>
      <w:pPr>
        <w:pStyle w:val="BodyText"/>
        <w:spacing w:line="480" w:lineRule="auto"/>
        <w:ind w:left="586" w:right="807" w:firstLine="566"/>
        <w:jc w:val="both"/>
      </w:pPr>
      <w:r>
        <w:rPr/>
        <w:t>Sutrisno (2017 : 213) </w:t>
      </w:r>
      <w:r>
        <w:rPr>
          <w:i/>
        </w:rPr>
        <w:t>return on assets </w:t>
      </w:r>
      <w:r>
        <w:rPr/>
        <w:t>juga dikenal sebagai tingkat pengembalian ekonomi, adalah ukuran kemampuan perusahaan untuk menggunakan semua aset perusahaan untuk menghasilkan laba. Dalam hal ini, laba yang dihasilkan adalah pendapatan tanpa bunga dan pajak.</w:t>
      </w:r>
    </w:p>
    <w:p>
      <w:pPr>
        <w:pStyle w:val="BodyText"/>
        <w:spacing w:line="480" w:lineRule="auto" w:before="1"/>
        <w:ind w:left="586" w:right="799" w:firstLine="566"/>
        <w:jc w:val="both"/>
      </w:pPr>
      <w:r>
        <w:rPr/>
        <w:t>Menurut Irham Fahmi (2013 : 290) </w:t>
      </w:r>
      <w:r>
        <w:rPr>
          <w:i/>
        </w:rPr>
        <w:t>return on assets </w:t>
      </w:r>
      <w:r>
        <w:rPr/>
        <w:t>adalah sejauh mana investasi yang diinvestasikan dapat memberikan pengembalian laba yang</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8"/>
        <w:jc w:val="both"/>
      </w:pPr>
      <w:r>
        <w:rPr/>
        <w:t>diharapkan. Pengembalian aset adalah rasio yang menunjukkan hasil pengembalian atas jumlah aset </w:t>
      </w:r>
      <w:r>
        <w:rPr>
          <w:spacing w:val="-3"/>
        </w:rPr>
        <w:t>yang </w:t>
      </w:r>
      <w:r>
        <w:rPr/>
        <w:t>digunakan oleh</w:t>
      </w:r>
      <w:r>
        <w:rPr>
          <w:spacing w:val="5"/>
        </w:rPr>
        <w:t> </w:t>
      </w:r>
      <w:r>
        <w:rPr/>
        <w:t>perusahaan.</w:t>
      </w:r>
    </w:p>
    <w:p>
      <w:pPr>
        <w:pStyle w:val="BodyText"/>
        <w:spacing w:line="480" w:lineRule="auto"/>
        <w:ind w:left="586" w:right="798" w:firstLine="566"/>
        <w:jc w:val="both"/>
      </w:pPr>
      <w:r>
        <w:rPr/>
        <w:t>Menurut </w:t>
      </w:r>
      <w:r>
        <w:rPr>
          <w:spacing w:val="-3"/>
        </w:rPr>
        <w:t>Asep </w:t>
      </w:r>
      <w:r>
        <w:rPr/>
        <w:t>Alipudin (2016 : 6) salah satu </w:t>
      </w:r>
      <w:r>
        <w:rPr>
          <w:spacing w:val="-3"/>
        </w:rPr>
        <w:t>rasio </w:t>
      </w:r>
      <w:r>
        <w:rPr/>
        <w:t>keuangan yang banyak digunakan untuk mengukur kinerja perusahaan khususnya menyangkut profitabilitas perusahaan adalah </w:t>
      </w:r>
      <w:r>
        <w:rPr>
          <w:i/>
        </w:rPr>
        <w:t>return on assets </w:t>
      </w:r>
      <w:r>
        <w:rPr/>
        <w:t>atau hasil pengembalian atas aset. </w:t>
      </w:r>
      <w:r>
        <w:rPr>
          <w:i/>
        </w:rPr>
        <w:t>Return on assets </w:t>
      </w:r>
      <w:r>
        <w:rPr/>
        <w:t>menujukkan keefisienan perusahaan dalam mengelola seluruh aktivanya untuk memperoleh</w:t>
      </w:r>
      <w:r>
        <w:rPr>
          <w:spacing w:val="1"/>
        </w:rPr>
        <w:t> </w:t>
      </w:r>
      <w:r>
        <w:rPr/>
        <w:t>pendapatan.</w:t>
      </w:r>
    </w:p>
    <w:p>
      <w:pPr>
        <w:pStyle w:val="BodyText"/>
        <w:spacing w:line="480" w:lineRule="auto" w:before="1"/>
        <w:ind w:left="586" w:right="794" w:firstLine="566"/>
        <w:jc w:val="both"/>
      </w:pPr>
      <w:r>
        <w:rPr/>
        <w:t>Amalia (2018) Semakin tinggi rasio ini menunjukkan bahwa perusahaan semakin efektif dalam memanfaatkan aktiva untuk menghasilkan laba bersih setelah pajak, </w:t>
      </w:r>
      <w:r>
        <w:rPr>
          <w:spacing w:val="-3"/>
        </w:rPr>
        <w:t>yang </w:t>
      </w:r>
      <w:r>
        <w:rPr/>
        <w:t>juga dapat diartikan bahwa kinerja perusahaan  semakin efektif. </w:t>
      </w:r>
      <w:r>
        <w:rPr>
          <w:i/>
        </w:rPr>
        <w:t>return on assets </w:t>
      </w:r>
      <w:r>
        <w:rPr/>
        <w:t>mencerminkan kemampuan perusahaan dalam memperoleh laba bersih setelah pajak dari total assets </w:t>
      </w:r>
      <w:r>
        <w:rPr>
          <w:spacing w:val="-3"/>
        </w:rPr>
        <w:t>yang </w:t>
      </w:r>
      <w:r>
        <w:rPr/>
        <w:t>digunakan untuk operasional perusahaan. Return On Assets (ROA) adalah rasio </w:t>
      </w:r>
      <w:r>
        <w:rPr>
          <w:spacing w:val="-3"/>
        </w:rPr>
        <w:t>yang </w:t>
      </w:r>
      <w:r>
        <w:rPr/>
        <w:t>memberikan fakta mengenai efisiensi kegiatan bisnis perusahaan, lantaran rasio tersebut menampakan berapa banyak keuntungan </w:t>
      </w:r>
      <w:r>
        <w:rPr>
          <w:spacing w:val="-5"/>
        </w:rPr>
        <w:t>yg </w:t>
      </w:r>
      <w:r>
        <w:rPr/>
        <w:t>bisa diperoleh per rupiah asetnya. Semakin besar ROA, Semakin tinggi tingkat </w:t>
      </w:r>
      <w:r>
        <w:rPr>
          <w:spacing w:val="-3"/>
        </w:rPr>
        <w:t>laba </w:t>
      </w:r>
      <w:r>
        <w:rPr/>
        <w:t>perusahaan, semakin baik penggunaan aset. Begitu </w:t>
      </w:r>
      <w:r>
        <w:rPr>
          <w:spacing w:val="-4"/>
        </w:rPr>
        <w:t>jua</w:t>
      </w:r>
      <w:r>
        <w:rPr>
          <w:spacing w:val="52"/>
        </w:rPr>
        <w:t> </w:t>
      </w:r>
      <w:r>
        <w:rPr/>
        <w:t>sebaliknya, apabila ROA lebih kecil, tingkat keuntungan perusahaan akan lebih kecil dan posisi perusahaan akan lebih buruk (Amalya,</w:t>
      </w:r>
      <w:r>
        <w:rPr>
          <w:spacing w:val="3"/>
        </w:rPr>
        <w:t> </w:t>
      </w:r>
      <w:r>
        <w:rPr/>
        <w:t>2018).</w:t>
      </w:r>
    </w:p>
    <w:p>
      <w:pPr>
        <w:pStyle w:val="BodyText"/>
        <w:spacing w:line="480" w:lineRule="auto" w:before="2"/>
        <w:ind w:left="586" w:right="793" w:firstLine="566"/>
        <w:jc w:val="both"/>
      </w:pPr>
      <w:r>
        <w:rPr/>
        <w:t>Menurut </w:t>
      </w:r>
      <w:r>
        <w:rPr>
          <w:spacing w:val="-3"/>
        </w:rPr>
        <w:t>Kasmir </w:t>
      </w:r>
      <w:r>
        <w:rPr/>
        <w:t>(2012 : 201) menyatakan bahwa </w:t>
      </w:r>
      <w:r>
        <w:rPr>
          <w:i/>
        </w:rPr>
        <w:t>Return On Asset </w:t>
      </w:r>
      <w:r>
        <w:rPr/>
        <w:t>adalah rasio </w:t>
      </w:r>
      <w:r>
        <w:rPr>
          <w:spacing w:val="-3"/>
        </w:rPr>
        <w:t>yang </w:t>
      </w:r>
      <w:r>
        <w:rPr/>
        <w:t>menunjukkan hasil (return) dari total aset yang digunakan oleh perusahaan. </w:t>
      </w:r>
      <w:r>
        <w:rPr>
          <w:spacing w:val="-3"/>
        </w:rPr>
        <w:t>Selain </w:t>
      </w:r>
      <w:r>
        <w:rPr/>
        <w:t>itu, </w:t>
      </w:r>
      <w:r>
        <w:rPr>
          <w:spacing w:val="-3"/>
        </w:rPr>
        <w:t>laba </w:t>
      </w:r>
      <w:r>
        <w:rPr/>
        <w:t>atas aset (ROA) memberikan cara </w:t>
      </w:r>
      <w:r>
        <w:rPr>
          <w:spacing w:val="-3"/>
        </w:rPr>
        <w:t>yang lebih </w:t>
      </w:r>
      <w:r>
        <w:rPr/>
        <w:t>baik untuk mengukur profitabilitas perusahaan karena</w:t>
      </w:r>
      <w:r>
        <w:rPr>
          <w:spacing w:val="58"/>
        </w:rPr>
        <w:t> </w:t>
      </w:r>
      <w:r>
        <w:rPr/>
        <w:t>menunjukkan efektivitas</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before="205"/>
        <w:ind w:left="586"/>
        <w:jc w:val="both"/>
      </w:pPr>
      <w:r>
        <w:rPr/>
        <w:t>penggunaan aset oleh manajemen untuk menghasilkan pendapatan. Hanafi (2012</w:t>
      </w:r>
      <w:r>
        <w:rPr>
          <w:spacing w:val="9"/>
        </w:rPr>
        <w:t> </w:t>
      </w:r>
      <w:r>
        <w:rPr/>
        <w:t>:</w:t>
      </w:r>
    </w:p>
    <w:p>
      <w:pPr>
        <w:pStyle w:val="BodyText"/>
      </w:pPr>
    </w:p>
    <w:p>
      <w:pPr>
        <w:pStyle w:val="BodyText"/>
        <w:ind w:left="586"/>
        <w:jc w:val="both"/>
      </w:pPr>
      <w:r>
        <w:rPr/>
        <w:t>81)  menyatakan bahwa tingkat  </w:t>
      </w:r>
      <w:r>
        <w:rPr>
          <w:spacing w:val="-3"/>
        </w:rPr>
        <w:t>laba  </w:t>
      </w:r>
      <w:r>
        <w:rPr/>
        <w:t>lainnya adalah return on total assets </w:t>
      </w:r>
      <w:r>
        <w:rPr>
          <w:spacing w:val="2"/>
        </w:rPr>
        <w:t> </w:t>
      </w:r>
      <w:r>
        <w:rPr/>
        <w:t>(ROA).</w:t>
      </w:r>
    </w:p>
    <w:p>
      <w:pPr>
        <w:pStyle w:val="BodyText"/>
      </w:pPr>
    </w:p>
    <w:p>
      <w:pPr>
        <w:pStyle w:val="BodyText"/>
        <w:spacing w:line="480" w:lineRule="auto"/>
        <w:ind w:left="586" w:right="803"/>
        <w:jc w:val="both"/>
      </w:pPr>
      <w:r>
        <w:rPr/>
        <w:t>Rasio ini mengukur kemampuan perusahaan untuk menghasilkan laba bersih berdasarkan aset tertentu. ROA juga biasa disebut sebagai ROI (pengembalian investasi).</w:t>
      </w:r>
    </w:p>
    <w:p>
      <w:pPr>
        <w:pStyle w:val="BodyText"/>
        <w:spacing w:line="480" w:lineRule="auto" w:after="13"/>
        <w:ind w:left="586" w:right="807" w:firstLine="566"/>
        <w:jc w:val="both"/>
      </w:pPr>
      <w:r>
        <w:rPr/>
        <w:pict>
          <v:rect style="position:absolute;margin-left:278.980011pt;margin-top:73.393135pt;width:99.648pt;height:.96002pt;mso-position-horizontal-relative:page;mso-position-vertical-relative:paragraph;z-index:-18187776" filled="true" fillcolor="#000000" stroked="false">
            <v:fill type="solid"/>
            <w10:wrap type="none"/>
          </v:rect>
        </w:pict>
      </w:r>
      <w:r>
        <w:rPr/>
        <w:t>Adapun rumus yang gunakan untuk mengukur return on assets menurut Fahmi (2013 : 290) ialah sebagai berikut:</w:t>
      </w:r>
    </w:p>
    <w:p>
      <w:pPr>
        <w:pStyle w:val="BodyText"/>
        <w:ind w:left="1747"/>
        <w:rPr>
          <w:sz w:val="20"/>
        </w:rPr>
      </w:pPr>
      <w:r>
        <w:rPr>
          <w:position w:val="0"/>
          <w:sz w:val="20"/>
        </w:rPr>
        <w:pict>
          <v:shape style="width:301.5pt;height:47.25pt;mso-position-horizontal-relative:char;mso-position-vertical-relative:line" type="#_x0000_t202" filled="false" stroked="true" strokeweight=".75pt" strokecolor="#000000">
            <w10:anchorlock/>
            <v:textbox inset="0,0,0,0">
              <w:txbxContent>
                <w:p>
                  <w:pPr>
                    <w:spacing w:line="178" w:lineRule="exact" w:before="60"/>
                    <w:ind w:left="2129" w:right="1885" w:firstLine="0"/>
                    <w:jc w:val="center"/>
                    <w:rPr>
                      <w:rFonts w:ascii="Cambria Math" w:hAnsi="Cambria Math" w:eastAsia="Cambria Math"/>
                      <w:sz w:val="21"/>
                    </w:rPr>
                  </w:pPr>
                  <w:r>
                    <w:rPr>
                      <w:rFonts w:ascii="Cambria Math" w:hAnsi="Cambria Math" w:eastAsia="Cambria Math"/>
                      <w:w w:val="110"/>
                      <w:sz w:val="21"/>
                    </w:rPr>
                    <w:t>𝐿𝑎𝑏𝑎 𝑠𝑒𝑡𝑒𝑙𝑎ℎ 𝑝𝑎𝑗𝑎𝑘</w:t>
                  </w:r>
                </w:p>
                <w:p>
                  <w:pPr>
                    <w:pStyle w:val="BodyText"/>
                    <w:spacing w:line="213" w:lineRule="exact"/>
                    <w:ind w:left="144"/>
                    <w:rPr>
                      <w:rFonts w:ascii="Calibri" w:eastAsia="Calibri"/>
                      <w:sz w:val="28"/>
                    </w:rPr>
                  </w:pPr>
                  <w:r>
                    <w:rPr>
                      <w:rFonts w:ascii="Cambria Math" w:eastAsia="Cambria Math"/>
                    </w:rPr>
                    <w:t>𝑅𝑒𝑡𝑢𝑟𝑛 𝑜𝑛 𝐴𝑠𝑠𝑒𝑡 </w:t>
                  </w:r>
                  <w:r>
                    <w:rPr>
                      <w:rFonts w:ascii="Calibri" w:eastAsia="Calibri"/>
                      <w:sz w:val="28"/>
                    </w:rPr>
                    <w:t>=</w:t>
                  </w:r>
                </w:p>
                <w:p>
                  <w:pPr>
                    <w:spacing w:line="186" w:lineRule="exact" w:before="0"/>
                    <w:ind w:left="2129" w:right="1880" w:firstLine="0"/>
                    <w:jc w:val="center"/>
                    <w:rPr>
                      <w:rFonts w:ascii="Cambria Math" w:eastAsia="Cambria Math"/>
                      <w:sz w:val="21"/>
                    </w:rPr>
                  </w:pPr>
                  <w:r>
                    <w:rPr>
                      <w:rFonts w:ascii="Cambria Math" w:eastAsia="Cambria Math"/>
                      <w:w w:val="110"/>
                      <w:sz w:val="21"/>
                    </w:rPr>
                    <w:t>𝑇𝑜𝑡𝑎𝑙 𝑎𝑘𝑡𝑖𝑣𝑎</w:t>
                  </w:r>
                </w:p>
              </w:txbxContent>
            </v:textbox>
            <v:stroke dashstyle="solid"/>
          </v:shape>
        </w:pict>
      </w:r>
      <w:r>
        <w:rPr>
          <w:position w:val="0"/>
          <w:sz w:val="20"/>
        </w:rPr>
      </w:r>
    </w:p>
    <w:p>
      <w:pPr>
        <w:pStyle w:val="BodyText"/>
        <w:spacing w:before="6"/>
        <w:rPr>
          <w:sz w:val="33"/>
        </w:rPr>
      </w:pPr>
    </w:p>
    <w:p>
      <w:pPr>
        <w:pStyle w:val="ListParagraph"/>
        <w:numPr>
          <w:ilvl w:val="2"/>
          <w:numId w:val="8"/>
        </w:numPr>
        <w:tabs>
          <w:tab w:pos="1129" w:val="left" w:leader="none"/>
        </w:tabs>
        <w:spacing w:line="240" w:lineRule="auto" w:before="0" w:after="0"/>
        <w:ind w:left="1129" w:right="0" w:hanging="543"/>
        <w:jc w:val="both"/>
        <w:rPr>
          <w:b/>
          <w:sz w:val="24"/>
        </w:rPr>
      </w:pPr>
      <w:r>
        <w:rPr>
          <w:b/>
          <w:sz w:val="24"/>
        </w:rPr>
        <w:t>Pengertian </w:t>
      </w:r>
      <w:r>
        <w:rPr>
          <w:b/>
          <w:i/>
          <w:sz w:val="24"/>
        </w:rPr>
        <w:t>Return on equity</w:t>
      </w:r>
      <w:r>
        <w:rPr>
          <w:b/>
          <w:i/>
          <w:spacing w:val="7"/>
          <w:sz w:val="24"/>
        </w:rPr>
        <w:t> </w:t>
      </w:r>
      <w:r>
        <w:rPr>
          <w:b/>
          <w:sz w:val="24"/>
        </w:rPr>
        <w:t>(ROE)</w:t>
      </w:r>
    </w:p>
    <w:p>
      <w:pPr>
        <w:pStyle w:val="BodyText"/>
        <w:spacing w:before="7"/>
        <w:rPr>
          <w:b/>
          <w:sz w:val="23"/>
        </w:rPr>
      </w:pPr>
    </w:p>
    <w:p>
      <w:pPr>
        <w:pStyle w:val="BodyText"/>
        <w:spacing w:line="480" w:lineRule="auto"/>
        <w:ind w:left="586" w:right="798" w:firstLine="566"/>
        <w:jc w:val="both"/>
      </w:pPr>
      <w:r>
        <w:rPr/>
        <w:t>Menurut Kasmir (2017 : 204) hasil pengembalian ekuitas atau </w:t>
      </w:r>
      <w:r>
        <w:rPr>
          <w:i/>
        </w:rPr>
        <w:t>return on </w:t>
      </w:r>
      <w:r>
        <w:rPr>
          <w:i/>
        </w:rPr>
        <w:t>equity </w:t>
      </w:r>
      <w:r>
        <w:rPr/>
        <w:t>merupakan rasio untuk mengukur laba bersih sesudah pajak dengan modal sendiri. Rasio ini menunjukkan efisiensi penggunaan modal sendiri. Semakin tinggi rasio ini semakin baik artinya posisi pemilik perusahaan semakin kuat, demikian pula sebaliknya.</w:t>
      </w:r>
    </w:p>
    <w:p>
      <w:pPr>
        <w:pStyle w:val="BodyText"/>
        <w:spacing w:line="480" w:lineRule="auto" w:before="1"/>
        <w:ind w:left="586" w:right="791" w:firstLine="566"/>
        <w:jc w:val="both"/>
      </w:pPr>
      <w:r>
        <w:rPr/>
        <w:t>Sutrisno (2017 : 213) </w:t>
      </w:r>
      <w:r>
        <w:rPr>
          <w:i/>
        </w:rPr>
        <w:t>Return on equity </w:t>
      </w:r>
      <w:r>
        <w:rPr/>
        <w:t>adalah kemampuan  perusahaan untuk menghasilkan </w:t>
      </w:r>
      <w:r>
        <w:rPr>
          <w:spacing w:val="-3"/>
        </w:rPr>
        <w:t>laba </w:t>
      </w:r>
      <w:r>
        <w:rPr/>
        <w:t>dari modal sendiri, sehingga laba atas ekuitas disebut profitabilitas dari modal sendiri. Laba yang dihitung adalah laba bersih setelah dikurangi pajak. Menurut Fahmi (2013 : 291) return on equity </w:t>
      </w:r>
      <w:r>
        <w:rPr>
          <w:spacing w:val="-3"/>
        </w:rPr>
        <w:t>Rasio </w:t>
      </w:r>
      <w:r>
        <w:rPr/>
        <w:t>ini meneliti sejauh mana perusahaan menggunakan sumber dayanya untuk memberikan laba atas</w:t>
      </w:r>
      <w:r>
        <w:rPr>
          <w:spacing w:val="-1"/>
        </w:rPr>
        <w:t> </w:t>
      </w:r>
      <w:r>
        <w:rPr/>
        <w:t>ekuitas.</w:t>
      </w:r>
    </w:p>
    <w:p>
      <w:pPr>
        <w:pStyle w:val="BodyText"/>
        <w:spacing w:line="480" w:lineRule="auto" w:before="2"/>
        <w:ind w:left="586" w:right="802" w:firstLine="566"/>
        <w:jc w:val="both"/>
      </w:pPr>
      <w:r>
        <w:rPr/>
        <w:t>Menurut Gitman (2012 : 82) </w:t>
      </w:r>
      <w:r>
        <w:rPr>
          <w:i/>
        </w:rPr>
        <w:t>Return on equity </w:t>
      </w:r>
      <w:r>
        <w:rPr/>
        <w:t>secara umum mengukur pengembalian yang diperoleh atas investasi pemegang saham biasa di perusahaan.</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800"/>
        <w:jc w:val="both"/>
      </w:pPr>
      <w:r>
        <w:rPr>
          <w:i/>
        </w:rPr>
        <w:t>Return on assets </w:t>
      </w:r>
      <w:r>
        <w:rPr/>
        <w:t>adalah rasio yang digunakan untuk mengkaji sejauh mana suatu perusahaan mempergunakan sumber daya yang dimiliki untuk </w:t>
      </w:r>
      <w:r>
        <w:rPr>
          <w:spacing w:val="-3"/>
        </w:rPr>
        <w:t>mampu </w:t>
      </w:r>
      <w:r>
        <w:rPr/>
        <w:t>memberikan </w:t>
      </w:r>
      <w:r>
        <w:rPr>
          <w:spacing w:val="-3"/>
        </w:rPr>
        <w:t>laba </w:t>
      </w:r>
      <w:r>
        <w:rPr/>
        <w:t>atas ekuitas (Irham Fahmi, 2014 : 338). Oleh karena itu, semakin besar ROE, semakin tinggi harga pasar, karena jumlah ROE menunjukkan bahwa investor akan mendapatkan pengembalian tinggi, yang membuat investor tertarik untuk membeli saham </w:t>
      </w:r>
      <w:r>
        <w:rPr>
          <w:spacing w:val="-3"/>
        </w:rPr>
        <w:t>ini, </w:t>
      </w:r>
      <w:r>
        <w:rPr/>
        <w:t>yang menyebabkan harga saham cenderung naik.</w:t>
      </w:r>
      <w:r>
        <w:rPr>
          <w:spacing w:val="2"/>
        </w:rPr>
        <w:t> </w:t>
      </w:r>
      <w:r>
        <w:rPr/>
        <w:t>Bangkit.</w:t>
      </w:r>
    </w:p>
    <w:p>
      <w:pPr>
        <w:pStyle w:val="BodyText"/>
        <w:spacing w:line="480" w:lineRule="auto" w:before="1"/>
        <w:ind w:left="586" w:right="795" w:firstLine="628"/>
        <w:jc w:val="both"/>
      </w:pPr>
      <w:r>
        <w:rPr/>
        <w:pict>
          <v:rect style="position:absolute;margin-left:297.239990pt;margin-top:81.593094pt;width:134.93pt;height:.96002pt;mso-position-horizontal-relative:page;mso-position-vertical-relative:paragraph;z-index:15731200" filled="true" fillcolor="#000000" stroked="false">
            <v:fill type="solid"/>
            <w10:wrap type="none"/>
          </v:rect>
        </w:pict>
      </w:r>
      <w:r>
        <w:rPr/>
        <w:t>Rumus untuk menghitung </w:t>
      </w:r>
      <w:r>
        <w:rPr>
          <w:i/>
        </w:rPr>
        <w:t>return on equity </w:t>
      </w:r>
      <w:r>
        <w:rPr/>
        <w:t>menurut Fahmi (2013 : 291) adalah sebagai berikut:</w:t>
      </w:r>
    </w:p>
    <w:p>
      <w:pPr>
        <w:pStyle w:val="BodyText"/>
        <w:spacing w:before="7"/>
        <w:rPr>
          <w:sz w:val="11"/>
        </w:rPr>
      </w:pPr>
      <w:r>
        <w:rPr/>
        <w:pict>
          <v:shape style="position:absolute;margin-left:186.899994pt;margin-top:9.033047pt;width:256.5pt;height:47.25pt;mso-position-horizontal-relative:page;mso-position-vertical-relative:paragraph;z-index:-15726592;mso-wrap-distance-left:0;mso-wrap-distance-right:0" type="#_x0000_t202" filled="false" stroked="true" strokeweight=".75pt" strokecolor="#000000">
            <v:textbox inset="0,0,0,0">
              <w:txbxContent>
                <w:p>
                  <w:pPr>
                    <w:spacing w:line="178" w:lineRule="exact" w:before="62"/>
                    <w:ind w:left="2193" w:right="214" w:firstLine="0"/>
                    <w:jc w:val="center"/>
                    <w:rPr>
                      <w:rFonts w:ascii="Cambria Math" w:hAnsi="Cambria Math" w:eastAsia="Cambria Math"/>
                      <w:sz w:val="21"/>
                    </w:rPr>
                  </w:pPr>
                  <w:r>
                    <w:rPr>
                      <w:rFonts w:ascii="Cambria Math" w:hAnsi="Cambria Math" w:eastAsia="Cambria Math"/>
                      <w:w w:val="110"/>
                      <w:sz w:val="21"/>
                    </w:rPr>
                    <w:t>𝐿𝑎𝑏𝑎 𝑏𝑒𝑟𝑠𝑖ℎ 𝑠𝑒𝑡𝑒𝑙𝑎ℎ 𝑝𝑎𝑗𝑎𝑘</w:t>
                  </w:r>
                </w:p>
                <w:p>
                  <w:pPr>
                    <w:spacing w:line="213" w:lineRule="exact" w:before="0"/>
                    <w:ind w:left="340" w:right="0" w:firstLine="0"/>
                    <w:jc w:val="left"/>
                    <w:rPr>
                      <w:rFonts w:ascii="Calibri"/>
                      <w:sz w:val="28"/>
                    </w:rPr>
                  </w:pPr>
                  <w:r>
                    <w:rPr>
                      <w:i/>
                      <w:sz w:val="24"/>
                    </w:rPr>
                    <w:t>Return on equity </w:t>
                  </w:r>
                  <w:r>
                    <w:rPr>
                      <w:rFonts w:ascii="Calibri"/>
                      <w:sz w:val="28"/>
                    </w:rPr>
                    <w:t>=</w:t>
                  </w:r>
                </w:p>
                <w:p>
                  <w:pPr>
                    <w:spacing w:line="186" w:lineRule="exact" w:before="0"/>
                    <w:ind w:left="2187" w:right="214" w:firstLine="0"/>
                    <w:jc w:val="center"/>
                    <w:rPr>
                      <w:rFonts w:ascii="Cambria Math" w:eastAsia="Cambria Math"/>
                      <w:sz w:val="21"/>
                    </w:rPr>
                  </w:pPr>
                  <w:r>
                    <w:rPr>
                      <w:rFonts w:ascii="Cambria Math" w:eastAsia="Cambria Math"/>
                      <w:w w:val="110"/>
                      <w:sz w:val="21"/>
                    </w:rPr>
                    <w:t>𝑀𝑜𝑑𝑎𝑙 𝑠𝑒𝑛𝑑𝑖𝑟𝑖</w:t>
                  </w:r>
                </w:p>
              </w:txbxContent>
            </v:textbox>
            <v:stroke dashstyle="solid"/>
            <w10:wrap type="topAndBottom"/>
          </v:shape>
        </w:pict>
      </w:r>
    </w:p>
    <w:p>
      <w:pPr>
        <w:pStyle w:val="BodyText"/>
        <w:rPr>
          <w:sz w:val="26"/>
        </w:rPr>
      </w:pPr>
    </w:p>
    <w:p>
      <w:pPr>
        <w:pStyle w:val="Heading3"/>
        <w:numPr>
          <w:ilvl w:val="2"/>
          <w:numId w:val="8"/>
        </w:numPr>
        <w:tabs>
          <w:tab w:pos="1153" w:val="left" w:leader="none"/>
        </w:tabs>
        <w:spacing w:line="240" w:lineRule="auto" w:before="185" w:after="0"/>
        <w:ind w:left="1153" w:right="0" w:hanging="567"/>
        <w:jc w:val="both"/>
      </w:pPr>
      <w:bookmarkStart w:name="_TOC_250007" w:id="19"/>
      <w:bookmarkEnd w:id="19"/>
      <w:r>
        <w:rPr/>
        <w:t>Saham</w:t>
      </w:r>
    </w:p>
    <w:p>
      <w:pPr>
        <w:pStyle w:val="BodyText"/>
        <w:spacing w:before="7"/>
        <w:rPr>
          <w:b/>
          <w:sz w:val="23"/>
        </w:rPr>
      </w:pPr>
    </w:p>
    <w:p>
      <w:pPr>
        <w:pStyle w:val="BodyText"/>
        <w:spacing w:line="480" w:lineRule="auto"/>
        <w:ind w:left="586" w:right="795" w:firstLine="566"/>
        <w:jc w:val="both"/>
      </w:pPr>
      <w:r>
        <w:rPr/>
        <w:t>Irham Fahmi (2012 : 81) Saham adalah salah satu instrumen pasar modal yang paling dibutuhkan bagi investor dan dapat memberikan pengembalian yang cukup besar. Saham adalah dokumen </w:t>
      </w:r>
      <w:r>
        <w:rPr>
          <w:spacing w:val="-3"/>
        </w:rPr>
        <w:t>yang </w:t>
      </w:r>
      <w:r>
        <w:rPr/>
        <w:t>jelas terdaftar berdasarkan nilai nominal dan nama perusahaan, diikuti oleh hak dan kewajiban, yang telah dijelaskan kepada masing-masing pemegang. Saham adalah sekuritas yang menunjukkan kepemilikan perusahaan, sehingga pemegang saham memiliki hak untuk mewajibkan perusahaan untuk membagikan dividen atau distribusi lainnya kepada pemegang saham, termasuk memberikan prioritas pada aset perusahaan setelah memenuhi persyaratan dari pemegang likuiditas</w:t>
      </w:r>
      <w:r>
        <w:rPr>
          <w:spacing w:val="-5"/>
        </w:rPr>
        <w:t> </w:t>
      </w:r>
      <w:r>
        <w:rPr/>
        <w:t>lainnya.</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7" w:firstLine="566"/>
        <w:jc w:val="both"/>
      </w:pPr>
      <w:r>
        <w:rPr/>
        <w:t>Menurut Husnan (2002 : 303) menyebutkan sekuritas (saham) adalah selembar kertas yang menunjukkan bahwa investor (yaitu, pihak yang memiliki dokumen) berhak atas bagian dari prospek atau kekayaan organisasi yang menerbitkan sekuritas, dan berbagai kondisi bagi investor untuk digunakan untuk hak-haknya dan kemudian didasarkan pada Menurut Darmadji dan Fakhruddin (2012: 5), saham (saham) adalah simbol individu atau entitas yang berpartisipasi dalam suatu perusahaan atau perseroan terbatas. Tidak ada persediaan kertas yang terlihat, menunjukkan bahwa pemilik kertas adalah pemilik perusahaan yang menerbitkan surat berharga.</w:t>
      </w:r>
    </w:p>
    <w:p>
      <w:pPr>
        <w:pStyle w:val="BodyText"/>
        <w:spacing w:line="480" w:lineRule="auto" w:before="1"/>
        <w:ind w:left="586" w:right="799" w:firstLine="566"/>
        <w:jc w:val="both"/>
      </w:pPr>
      <w:r>
        <w:rPr/>
        <w:t>Berdasarkan pemahaman para ahli di atas, dapat disimpulkan bahwa saham adalah alat investasi yang dipilih oleh banyak investor, karena saham dapat memberikan tingkat keuntungan yang menarik.</w:t>
      </w:r>
    </w:p>
    <w:p>
      <w:pPr>
        <w:pStyle w:val="Heading3"/>
        <w:numPr>
          <w:ilvl w:val="2"/>
          <w:numId w:val="8"/>
        </w:numPr>
        <w:tabs>
          <w:tab w:pos="1153" w:val="left" w:leader="none"/>
        </w:tabs>
        <w:spacing w:line="240" w:lineRule="auto" w:before="5" w:after="0"/>
        <w:ind w:left="1153" w:right="0" w:hanging="567"/>
        <w:jc w:val="both"/>
      </w:pPr>
      <w:bookmarkStart w:name="_TOC_250006" w:id="20"/>
      <w:bookmarkEnd w:id="20"/>
      <w:r>
        <w:rPr/>
        <w:t>Jenis-jenis Saham</w:t>
      </w:r>
    </w:p>
    <w:p>
      <w:pPr>
        <w:pStyle w:val="BodyText"/>
        <w:spacing w:before="7"/>
        <w:rPr>
          <w:b/>
          <w:sz w:val="23"/>
        </w:rPr>
      </w:pPr>
    </w:p>
    <w:p>
      <w:pPr>
        <w:pStyle w:val="BodyText"/>
        <w:spacing w:line="480" w:lineRule="auto" w:before="1"/>
        <w:ind w:left="586" w:right="804"/>
        <w:jc w:val="both"/>
      </w:pPr>
      <w:r>
        <w:rPr/>
        <w:t>Saham adalah sekuritas paling populer dan terkenal di komunitas. Menurut Darmadji dan Fakhruddin (2012: 6), ada beberapa jenis saham, yaitu:</w:t>
      </w:r>
    </w:p>
    <w:p>
      <w:pPr>
        <w:pStyle w:val="ListParagraph"/>
        <w:numPr>
          <w:ilvl w:val="0"/>
          <w:numId w:val="9"/>
        </w:numPr>
        <w:tabs>
          <w:tab w:pos="870" w:val="left" w:leader="none"/>
        </w:tabs>
        <w:spacing w:line="480" w:lineRule="auto" w:before="0" w:after="0"/>
        <w:ind w:left="869" w:right="799" w:hanging="284"/>
        <w:jc w:val="both"/>
        <w:rPr>
          <w:sz w:val="24"/>
        </w:rPr>
      </w:pPr>
      <w:r>
        <w:rPr>
          <w:sz w:val="24"/>
        </w:rPr>
        <w:t>Dalam hal kemampuan untuk membuat klaim atau klaim, saham dibagi menjadi:</w:t>
      </w:r>
    </w:p>
    <w:p>
      <w:pPr>
        <w:pStyle w:val="ListParagraph"/>
        <w:numPr>
          <w:ilvl w:val="1"/>
          <w:numId w:val="9"/>
        </w:numPr>
        <w:tabs>
          <w:tab w:pos="1153" w:val="left" w:leader="none"/>
        </w:tabs>
        <w:spacing w:line="480" w:lineRule="auto" w:before="0" w:after="0"/>
        <w:ind w:left="1153" w:right="799" w:hanging="284"/>
        <w:jc w:val="both"/>
        <w:rPr>
          <w:sz w:val="24"/>
        </w:rPr>
      </w:pPr>
      <w:r>
        <w:rPr>
          <w:sz w:val="24"/>
        </w:rPr>
        <w:t>Preferensi saham (saham preferen) adalah saham yang memiliki karakteristik kombinasi obligasi dan saham biasa, karena mereka dapat menghasilkan pendapatan tetap (seperti bunga obligasi), tetapi mereka tidak dapat membawa hasil yang diharapkan oleh</w:t>
      </w:r>
      <w:r>
        <w:rPr>
          <w:spacing w:val="11"/>
          <w:sz w:val="24"/>
        </w:rPr>
        <w:t> </w:t>
      </w:r>
      <w:r>
        <w:rPr>
          <w:sz w:val="24"/>
        </w:rPr>
        <w:t>investor.</w:t>
      </w:r>
    </w:p>
    <w:p>
      <w:pPr>
        <w:pStyle w:val="ListParagraph"/>
        <w:numPr>
          <w:ilvl w:val="1"/>
          <w:numId w:val="9"/>
        </w:numPr>
        <w:tabs>
          <w:tab w:pos="1153" w:val="left" w:leader="none"/>
        </w:tabs>
        <w:spacing w:line="480" w:lineRule="auto" w:before="1" w:after="0"/>
        <w:ind w:left="1153" w:right="810" w:hanging="284"/>
        <w:jc w:val="both"/>
        <w:rPr>
          <w:sz w:val="24"/>
        </w:rPr>
      </w:pPr>
      <w:r>
        <w:rPr>
          <w:sz w:val="24"/>
        </w:rPr>
        <w:t>Satu Saham biasa, yaitu saham pemilik sekunder dari pembagian dividen, dan hak untuk memiliki aset perusahaan setelah perusahaan</w:t>
      </w:r>
      <w:r>
        <w:rPr>
          <w:spacing w:val="-13"/>
          <w:sz w:val="24"/>
        </w:rPr>
        <w:t> </w:t>
      </w:r>
      <w:r>
        <w:rPr>
          <w:sz w:val="24"/>
        </w:rPr>
        <w:t>dilikuidasi.</w:t>
      </w:r>
    </w:p>
    <w:p>
      <w:pPr>
        <w:spacing w:after="0" w:line="480" w:lineRule="auto"/>
        <w:jc w:val="both"/>
        <w:rPr>
          <w:sz w:val="24"/>
        </w:rPr>
        <w:sectPr>
          <w:pgSz w:w="11910" w:h="16840"/>
          <w:pgMar w:header="0" w:footer="998" w:top="1580" w:bottom="1180" w:left="1680" w:right="900"/>
        </w:sectPr>
      </w:pPr>
    </w:p>
    <w:p>
      <w:pPr>
        <w:pStyle w:val="BodyText"/>
        <w:rPr>
          <w:sz w:val="20"/>
        </w:rPr>
      </w:pPr>
    </w:p>
    <w:p>
      <w:pPr>
        <w:pStyle w:val="BodyText"/>
        <w:rPr>
          <w:sz w:val="20"/>
        </w:rPr>
      </w:pPr>
    </w:p>
    <w:p>
      <w:pPr>
        <w:pStyle w:val="ListParagraph"/>
        <w:numPr>
          <w:ilvl w:val="0"/>
          <w:numId w:val="9"/>
        </w:numPr>
        <w:tabs>
          <w:tab w:pos="870" w:val="left" w:leader="none"/>
        </w:tabs>
        <w:spacing w:line="240" w:lineRule="auto" w:before="205" w:after="0"/>
        <w:ind w:left="869" w:right="0" w:hanging="284"/>
        <w:jc w:val="left"/>
        <w:rPr>
          <w:sz w:val="24"/>
        </w:rPr>
      </w:pPr>
      <w:r>
        <w:rPr>
          <w:sz w:val="24"/>
        </w:rPr>
        <w:t>Dalam hal metode pemeliharaan, pembagian dibagi</w:t>
      </w:r>
      <w:r>
        <w:rPr>
          <w:spacing w:val="-6"/>
          <w:sz w:val="24"/>
        </w:rPr>
        <w:t> </w:t>
      </w:r>
      <w:r>
        <w:rPr>
          <w:sz w:val="24"/>
        </w:rPr>
        <w:t>menjadi:</w:t>
      </w:r>
    </w:p>
    <w:p>
      <w:pPr>
        <w:pStyle w:val="BodyText"/>
      </w:pPr>
    </w:p>
    <w:p>
      <w:pPr>
        <w:pStyle w:val="ListParagraph"/>
        <w:numPr>
          <w:ilvl w:val="1"/>
          <w:numId w:val="9"/>
        </w:numPr>
        <w:tabs>
          <w:tab w:pos="1153" w:val="left" w:leader="none"/>
        </w:tabs>
        <w:spacing w:line="480" w:lineRule="auto" w:before="0" w:after="0"/>
        <w:ind w:left="1153" w:right="807" w:hanging="284"/>
        <w:jc w:val="left"/>
        <w:rPr>
          <w:sz w:val="24"/>
        </w:rPr>
      </w:pPr>
      <w:r>
        <w:rPr>
          <w:sz w:val="24"/>
        </w:rPr>
        <w:t>Nama saham (saham terdaftar) adalah dengan jelas menunjukkan siapa saham itu dan di mana mereka harus menjalani prosedur</w:t>
      </w:r>
      <w:r>
        <w:rPr>
          <w:spacing w:val="-5"/>
          <w:sz w:val="24"/>
        </w:rPr>
        <w:t> </w:t>
      </w:r>
      <w:r>
        <w:rPr>
          <w:sz w:val="24"/>
        </w:rPr>
        <w:t>tertentu.</w:t>
      </w:r>
    </w:p>
    <w:p>
      <w:pPr>
        <w:pStyle w:val="ListParagraph"/>
        <w:numPr>
          <w:ilvl w:val="1"/>
          <w:numId w:val="9"/>
        </w:numPr>
        <w:tabs>
          <w:tab w:pos="1153" w:val="left" w:leader="none"/>
        </w:tabs>
        <w:spacing w:line="480" w:lineRule="auto" w:before="0" w:after="0"/>
        <w:ind w:left="1153" w:right="808" w:hanging="284"/>
        <w:jc w:val="left"/>
        <w:rPr>
          <w:sz w:val="24"/>
        </w:rPr>
      </w:pPr>
      <w:r>
        <w:rPr>
          <w:sz w:val="24"/>
        </w:rPr>
        <w:t>Saham unjuk berarti bahwa nama pemilik tidak tertulis dalam nama, sehingga dapat dengan mudah ditransfer dari satu investor ke yang</w:t>
      </w:r>
      <w:r>
        <w:rPr>
          <w:spacing w:val="-2"/>
          <w:sz w:val="24"/>
        </w:rPr>
        <w:t> </w:t>
      </w:r>
      <w:r>
        <w:rPr>
          <w:spacing w:val="-4"/>
          <w:sz w:val="24"/>
        </w:rPr>
        <w:t>lain.</w:t>
      </w:r>
    </w:p>
    <w:p>
      <w:pPr>
        <w:pStyle w:val="ListParagraph"/>
        <w:numPr>
          <w:ilvl w:val="0"/>
          <w:numId w:val="9"/>
        </w:numPr>
        <w:tabs>
          <w:tab w:pos="870" w:val="left" w:leader="none"/>
        </w:tabs>
        <w:spacing w:line="240" w:lineRule="auto" w:before="0" w:after="0"/>
        <w:ind w:left="869" w:right="0" w:hanging="284"/>
        <w:jc w:val="left"/>
        <w:rPr>
          <w:sz w:val="24"/>
        </w:rPr>
      </w:pPr>
      <w:r>
        <w:rPr>
          <w:sz w:val="24"/>
        </w:rPr>
        <w:t>Dalam hal kinerja perdagangan, saham dapat dibagi</w:t>
      </w:r>
      <w:r>
        <w:rPr>
          <w:spacing w:val="-7"/>
          <w:sz w:val="24"/>
        </w:rPr>
        <w:t> </w:t>
      </w:r>
      <w:r>
        <w:rPr>
          <w:sz w:val="24"/>
        </w:rPr>
        <w:t>menjadi:</w:t>
      </w:r>
    </w:p>
    <w:p>
      <w:pPr>
        <w:pStyle w:val="BodyText"/>
      </w:pPr>
    </w:p>
    <w:p>
      <w:pPr>
        <w:pStyle w:val="ListParagraph"/>
        <w:numPr>
          <w:ilvl w:val="1"/>
          <w:numId w:val="9"/>
        </w:numPr>
        <w:tabs>
          <w:tab w:pos="1153" w:val="left" w:leader="none"/>
        </w:tabs>
        <w:spacing w:line="480" w:lineRule="auto" w:before="0" w:after="0"/>
        <w:ind w:left="1153" w:right="798" w:hanging="284"/>
        <w:jc w:val="both"/>
        <w:rPr>
          <w:sz w:val="24"/>
        </w:rPr>
      </w:pPr>
      <w:r>
        <w:rPr>
          <w:sz w:val="24"/>
        </w:rPr>
        <w:t>Stock pendapatan (income stock), </w:t>
      </w:r>
      <w:r>
        <w:rPr>
          <w:spacing w:val="-3"/>
          <w:sz w:val="24"/>
        </w:rPr>
        <w:t>yaitu </w:t>
      </w:r>
      <w:r>
        <w:rPr>
          <w:sz w:val="24"/>
        </w:rPr>
        <w:t>saham biasa dari penerbit, dapat membayar dividen lebih tinggi dari rata-rata dividen tahun</w:t>
      </w:r>
      <w:r>
        <w:rPr>
          <w:spacing w:val="-19"/>
          <w:sz w:val="24"/>
        </w:rPr>
        <w:t> </w:t>
      </w:r>
      <w:r>
        <w:rPr>
          <w:sz w:val="24"/>
        </w:rPr>
        <w:t>sebelumnya.</w:t>
      </w:r>
    </w:p>
    <w:p>
      <w:pPr>
        <w:pStyle w:val="ListParagraph"/>
        <w:numPr>
          <w:ilvl w:val="1"/>
          <w:numId w:val="9"/>
        </w:numPr>
        <w:tabs>
          <w:tab w:pos="1153" w:val="left" w:leader="none"/>
        </w:tabs>
        <w:spacing w:line="480" w:lineRule="auto" w:before="1" w:after="0"/>
        <w:ind w:left="1153" w:right="799" w:hanging="284"/>
        <w:jc w:val="both"/>
        <w:rPr>
          <w:sz w:val="24"/>
        </w:rPr>
      </w:pPr>
      <w:r>
        <w:rPr>
          <w:sz w:val="24"/>
        </w:rPr>
        <w:t>Saham unggulan (blue chips) adalah saham biasa dari perusahaan- perusahaan terkemuka, sebagai pemimpin dalam industri serupa, mereka memiliki pendapatan </w:t>
      </w:r>
      <w:r>
        <w:rPr>
          <w:spacing w:val="-3"/>
          <w:sz w:val="24"/>
        </w:rPr>
        <w:t>yang </w:t>
      </w:r>
      <w:r>
        <w:rPr>
          <w:sz w:val="24"/>
        </w:rPr>
        <w:t>konsisten dan distribusi dividen yang</w:t>
      </w:r>
      <w:r>
        <w:rPr>
          <w:spacing w:val="-11"/>
          <w:sz w:val="24"/>
        </w:rPr>
        <w:t> </w:t>
      </w:r>
      <w:r>
        <w:rPr>
          <w:sz w:val="24"/>
        </w:rPr>
        <w:t>konsisten.</w:t>
      </w:r>
    </w:p>
    <w:p>
      <w:pPr>
        <w:pStyle w:val="ListParagraph"/>
        <w:numPr>
          <w:ilvl w:val="1"/>
          <w:numId w:val="9"/>
        </w:numPr>
        <w:tabs>
          <w:tab w:pos="1153" w:val="left" w:leader="none"/>
        </w:tabs>
        <w:spacing w:line="480" w:lineRule="auto" w:before="1" w:after="0"/>
        <w:ind w:left="1153" w:right="796" w:hanging="284"/>
        <w:jc w:val="both"/>
        <w:rPr>
          <w:sz w:val="24"/>
        </w:rPr>
      </w:pPr>
      <w:r>
        <w:rPr>
          <w:sz w:val="24"/>
        </w:rPr>
        <w:t>Stok pertumbuhan (stok pertumbuhan terkenal), yaitu, saham emiten dengan pertumbuhan pendapatan yang cepat, adalah pemimpin dalam industri serupa dengan reputasi tinggi. Selain itu, ada beberapa stok pertumbuhan yang kurang dikenal, yaitu stok emiten, yang bukan pemimpin industri tetapi memiliki karakteristik stok</w:t>
      </w:r>
      <w:r>
        <w:rPr>
          <w:spacing w:val="-4"/>
          <w:sz w:val="24"/>
        </w:rPr>
        <w:t> </w:t>
      </w:r>
      <w:r>
        <w:rPr>
          <w:sz w:val="24"/>
        </w:rPr>
        <w:t>pertumbuhan.</w:t>
      </w:r>
    </w:p>
    <w:p>
      <w:pPr>
        <w:pStyle w:val="ListParagraph"/>
        <w:numPr>
          <w:ilvl w:val="1"/>
          <w:numId w:val="9"/>
        </w:numPr>
        <w:tabs>
          <w:tab w:pos="1153" w:val="left" w:leader="none"/>
        </w:tabs>
        <w:spacing w:line="480" w:lineRule="auto" w:before="1" w:after="0"/>
        <w:ind w:left="1153" w:right="799" w:hanging="284"/>
        <w:jc w:val="both"/>
        <w:rPr>
          <w:sz w:val="24"/>
        </w:rPr>
      </w:pPr>
      <w:r>
        <w:rPr>
          <w:sz w:val="24"/>
        </w:rPr>
        <w:t>Saham countercyclical adalah saham yang tidak terpengaruh oleh kondisi ekonomi makro atau kondisi operasi</w:t>
      </w:r>
      <w:r>
        <w:rPr>
          <w:spacing w:val="-15"/>
          <w:sz w:val="24"/>
        </w:rPr>
        <w:t> </w:t>
      </w:r>
      <w:r>
        <w:rPr>
          <w:sz w:val="24"/>
        </w:rPr>
        <w:t>keseluruhan.</w:t>
      </w:r>
    </w:p>
    <w:p>
      <w:pPr>
        <w:pStyle w:val="ListParagraph"/>
        <w:numPr>
          <w:ilvl w:val="1"/>
          <w:numId w:val="9"/>
        </w:numPr>
        <w:tabs>
          <w:tab w:pos="1153" w:val="left" w:leader="none"/>
        </w:tabs>
        <w:spacing w:line="480" w:lineRule="auto" w:before="0" w:after="0"/>
        <w:ind w:left="1153" w:right="804" w:hanging="284"/>
        <w:jc w:val="both"/>
        <w:rPr>
          <w:sz w:val="24"/>
        </w:rPr>
      </w:pPr>
      <w:r>
        <w:rPr>
          <w:sz w:val="24"/>
        </w:rPr>
        <w:t>Saham spekulatif (saham spekulatif), yaitu, saham perusahaan yang, meskipun tidak pasti, tidak akan terus mendapatkan penghasilan tinggi </w:t>
      </w:r>
      <w:r>
        <w:rPr>
          <w:spacing w:val="4"/>
          <w:sz w:val="24"/>
        </w:rPr>
        <w:t>di </w:t>
      </w:r>
      <w:r>
        <w:rPr>
          <w:sz w:val="24"/>
        </w:rPr>
        <w:t>masa depan.</w:t>
      </w:r>
    </w:p>
    <w:p>
      <w:pPr>
        <w:pStyle w:val="BodyText"/>
        <w:ind w:left="1153"/>
        <w:jc w:val="both"/>
      </w:pPr>
      <w:r>
        <w:rPr/>
        <w:t>Menurut Jogiyanto (2003 : 67) saham dapat dibagi menjadi 3 yaitu:</w:t>
      </w:r>
    </w:p>
    <w:p>
      <w:pPr>
        <w:spacing w:after="0"/>
        <w:jc w:val="both"/>
        <w:sectPr>
          <w:pgSz w:w="11910" w:h="16840"/>
          <w:pgMar w:header="0" w:footer="998" w:top="1580" w:bottom="1180" w:left="1680" w:right="900"/>
        </w:sectPr>
      </w:pPr>
    </w:p>
    <w:p>
      <w:pPr>
        <w:pStyle w:val="BodyText"/>
        <w:rPr>
          <w:sz w:val="20"/>
        </w:rPr>
      </w:pPr>
    </w:p>
    <w:p>
      <w:pPr>
        <w:pStyle w:val="BodyText"/>
        <w:rPr>
          <w:sz w:val="20"/>
        </w:rPr>
      </w:pPr>
    </w:p>
    <w:p>
      <w:pPr>
        <w:pStyle w:val="ListParagraph"/>
        <w:numPr>
          <w:ilvl w:val="0"/>
          <w:numId w:val="10"/>
        </w:numPr>
        <w:tabs>
          <w:tab w:pos="1307" w:val="left" w:leader="none"/>
        </w:tabs>
        <w:spacing w:line="480" w:lineRule="auto" w:before="205" w:after="0"/>
        <w:ind w:left="1306" w:right="807" w:hanging="360"/>
        <w:jc w:val="both"/>
        <w:rPr>
          <w:sz w:val="24"/>
        </w:rPr>
      </w:pPr>
      <w:r>
        <w:rPr>
          <w:sz w:val="24"/>
        </w:rPr>
        <w:t>Saham biasa: Jika perusahaan hanya mengeluarkan satu kelas saham, saham biasanya dalam bentuk saham biasa. Sebagai pemilik perusahaan, pemegang saham biasa memiliki banyak hak, termasuk: kontrol, yaitu pemegang saham biasa dapat memilih kepemimpinan</w:t>
      </w:r>
      <w:r>
        <w:rPr>
          <w:spacing w:val="-8"/>
          <w:sz w:val="24"/>
        </w:rPr>
        <w:t> </w:t>
      </w:r>
      <w:r>
        <w:rPr>
          <w:sz w:val="24"/>
        </w:rPr>
        <w:t>perusahaan.</w:t>
      </w:r>
    </w:p>
    <w:p>
      <w:pPr>
        <w:pStyle w:val="ListParagraph"/>
        <w:numPr>
          <w:ilvl w:val="0"/>
          <w:numId w:val="10"/>
        </w:numPr>
        <w:tabs>
          <w:tab w:pos="1307" w:val="left" w:leader="none"/>
        </w:tabs>
        <w:spacing w:line="240" w:lineRule="auto" w:before="0" w:after="0"/>
        <w:ind w:left="1306" w:right="0" w:hanging="361"/>
        <w:jc w:val="both"/>
        <w:rPr>
          <w:sz w:val="24"/>
        </w:rPr>
      </w:pPr>
      <w:r>
        <w:rPr>
          <w:sz w:val="24"/>
        </w:rPr>
        <w:t>Saham</w:t>
      </w:r>
      <w:r>
        <w:rPr>
          <w:spacing w:val="30"/>
          <w:sz w:val="24"/>
        </w:rPr>
        <w:t> </w:t>
      </w:r>
      <w:r>
        <w:rPr>
          <w:sz w:val="24"/>
        </w:rPr>
        <w:t>preferen:</w:t>
      </w:r>
      <w:r>
        <w:rPr>
          <w:spacing w:val="35"/>
          <w:sz w:val="24"/>
        </w:rPr>
        <w:t> </w:t>
      </w:r>
      <w:r>
        <w:rPr>
          <w:sz w:val="24"/>
        </w:rPr>
        <w:t>saham</w:t>
      </w:r>
      <w:r>
        <w:rPr>
          <w:spacing w:val="30"/>
          <w:sz w:val="24"/>
        </w:rPr>
        <w:t> </w:t>
      </w:r>
      <w:r>
        <w:rPr>
          <w:sz w:val="24"/>
        </w:rPr>
        <w:t>yang</w:t>
      </w:r>
      <w:r>
        <w:rPr>
          <w:spacing w:val="39"/>
          <w:sz w:val="24"/>
        </w:rPr>
        <w:t> </w:t>
      </w:r>
      <w:r>
        <w:rPr>
          <w:sz w:val="24"/>
        </w:rPr>
        <w:t>menggabungkan</w:t>
      </w:r>
      <w:r>
        <w:rPr>
          <w:spacing w:val="29"/>
          <w:sz w:val="24"/>
        </w:rPr>
        <w:t> </w:t>
      </w:r>
      <w:r>
        <w:rPr>
          <w:sz w:val="24"/>
        </w:rPr>
        <w:t>obligasi</w:t>
      </w:r>
      <w:r>
        <w:rPr>
          <w:spacing w:val="30"/>
          <w:sz w:val="24"/>
        </w:rPr>
        <w:t> </w:t>
      </w:r>
      <w:r>
        <w:rPr>
          <w:sz w:val="24"/>
        </w:rPr>
        <w:t>dan</w:t>
      </w:r>
      <w:r>
        <w:rPr>
          <w:spacing w:val="29"/>
          <w:sz w:val="24"/>
        </w:rPr>
        <w:t> </w:t>
      </w:r>
      <w:r>
        <w:rPr>
          <w:sz w:val="24"/>
        </w:rPr>
        <w:t>saham</w:t>
      </w:r>
      <w:r>
        <w:rPr>
          <w:spacing w:val="30"/>
          <w:sz w:val="24"/>
        </w:rPr>
        <w:t> </w:t>
      </w:r>
      <w:r>
        <w:rPr>
          <w:sz w:val="24"/>
        </w:rPr>
        <w:t>biasa.</w:t>
      </w:r>
    </w:p>
    <w:p>
      <w:pPr>
        <w:pStyle w:val="BodyText"/>
      </w:pPr>
    </w:p>
    <w:p>
      <w:pPr>
        <w:pStyle w:val="BodyText"/>
        <w:spacing w:line="480" w:lineRule="auto"/>
        <w:ind w:left="1306" w:right="807"/>
        <w:jc w:val="both"/>
      </w:pPr>
      <w:r>
        <w:rPr/>
        <w:t>Seperti obligasi yang membayar bunga pinjaman, saham preferen juga memberikan pendapatan tetap dalam bentuk dividen saham preferen. Dibandingkan dengan saham biasa, saham preferen memiliki beberapa hak,</w:t>
      </w:r>
      <w:r>
        <w:rPr>
          <w:spacing w:val="8"/>
        </w:rPr>
        <w:t> </w:t>
      </w:r>
      <w:r>
        <w:rPr/>
        <w:t>yaitu:</w:t>
      </w:r>
    </w:p>
    <w:p>
      <w:pPr>
        <w:pStyle w:val="ListParagraph"/>
        <w:numPr>
          <w:ilvl w:val="1"/>
          <w:numId w:val="10"/>
        </w:numPr>
        <w:tabs>
          <w:tab w:pos="1720" w:val="left" w:leader="none"/>
        </w:tabs>
        <w:spacing w:line="480" w:lineRule="auto" w:before="1" w:after="0"/>
        <w:ind w:left="1719" w:right="803" w:hanging="361"/>
        <w:jc w:val="both"/>
        <w:rPr>
          <w:sz w:val="24"/>
        </w:rPr>
      </w:pPr>
      <w:r>
        <w:rPr>
          <w:sz w:val="24"/>
        </w:rPr>
        <w:t>Satu Dividen abadi dan hak prabayar saat likuidasi. Oleh karena itu, saham preferen dianggap memiliki karakteristik antara obligasi </w:t>
      </w:r>
      <w:r>
        <w:rPr>
          <w:spacing w:val="2"/>
          <w:sz w:val="24"/>
        </w:rPr>
        <w:t>dan </w:t>
      </w:r>
      <w:r>
        <w:rPr>
          <w:sz w:val="24"/>
        </w:rPr>
        <w:t>saham</w:t>
      </w:r>
      <w:r>
        <w:rPr>
          <w:spacing w:val="-4"/>
          <w:sz w:val="24"/>
        </w:rPr>
        <w:t> </w:t>
      </w:r>
      <w:r>
        <w:rPr>
          <w:sz w:val="24"/>
        </w:rPr>
        <w:t>biasa.</w:t>
      </w:r>
    </w:p>
    <w:p>
      <w:pPr>
        <w:pStyle w:val="ListParagraph"/>
        <w:numPr>
          <w:ilvl w:val="1"/>
          <w:numId w:val="10"/>
        </w:numPr>
        <w:tabs>
          <w:tab w:pos="1720" w:val="left" w:leader="none"/>
        </w:tabs>
        <w:spacing w:line="480" w:lineRule="auto" w:before="1" w:after="0"/>
        <w:ind w:left="1719" w:right="801" w:hanging="361"/>
        <w:jc w:val="both"/>
        <w:rPr>
          <w:sz w:val="24"/>
        </w:rPr>
      </w:pPr>
      <w:r>
        <w:rPr>
          <w:sz w:val="24"/>
        </w:rPr>
        <w:t>Hak untuk menerima bagi hasil adalah hak pemegang saham biasa untuk berbagi keuntungan</w:t>
      </w:r>
      <w:r>
        <w:rPr>
          <w:spacing w:val="-5"/>
          <w:sz w:val="24"/>
        </w:rPr>
        <w:t> </w:t>
      </w:r>
      <w:r>
        <w:rPr>
          <w:sz w:val="24"/>
        </w:rPr>
        <w:t>perusahaan.</w:t>
      </w:r>
    </w:p>
    <w:p>
      <w:pPr>
        <w:pStyle w:val="ListParagraph"/>
        <w:numPr>
          <w:ilvl w:val="1"/>
          <w:numId w:val="10"/>
        </w:numPr>
        <w:tabs>
          <w:tab w:pos="1720" w:val="left" w:leader="none"/>
        </w:tabs>
        <w:spacing w:line="480" w:lineRule="auto" w:before="0" w:after="0"/>
        <w:ind w:left="1719" w:right="789" w:hanging="361"/>
        <w:jc w:val="both"/>
        <w:rPr>
          <w:sz w:val="24"/>
        </w:rPr>
      </w:pPr>
      <w:r>
        <w:rPr>
          <w:sz w:val="24"/>
        </w:rPr>
        <w:t>Hak preemptive untuk membeli, yaitu, </w:t>
      </w:r>
      <w:r>
        <w:rPr>
          <w:spacing w:val="-3"/>
          <w:sz w:val="24"/>
        </w:rPr>
        <w:t>jika </w:t>
      </w:r>
      <w:r>
        <w:rPr>
          <w:sz w:val="24"/>
        </w:rPr>
        <w:t>perusahaan mengeluarkan saham baru untuk melindungi kendali pemegang saham lama dan melindungi harga saham lama dari penurunan harga, pemegang saham berhak atas persentase kepemilikan </w:t>
      </w:r>
      <w:r>
        <w:rPr>
          <w:spacing w:val="-3"/>
          <w:sz w:val="24"/>
        </w:rPr>
        <w:t>yang</w:t>
      </w:r>
      <w:r>
        <w:rPr>
          <w:spacing w:val="5"/>
          <w:sz w:val="24"/>
        </w:rPr>
        <w:t> </w:t>
      </w:r>
      <w:r>
        <w:rPr>
          <w:sz w:val="24"/>
        </w:rPr>
        <w:t>sama.</w:t>
      </w:r>
    </w:p>
    <w:p>
      <w:pPr>
        <w:pStyle w:val="ListParagraph"/>
        <w:numPr>
          <w:ilvl w:val="0"/>
          <w:numId w:val="10"/>
        </w:numPr>
        <w:tabs>
          <w:tab w:pos="1307" w:val="left" w:leader="none"/>
        </w:tabs>
        <w:spacing w:line="480" w:lineRule="auto" w:before="1" w:after="0"/>
        <w:ind w:left="1306" w:right="793" w:hanging="360"/>
        <w:jc w:val="both"/>
        <w:rPr>
          <w:sz w:val="24"/>
        </w:rPr>
      </w:pPr>
      <w:r>
        <w:rPr>
          <w:sz w:val="24"/>
        </w:rPr>
        <w:t>Saham treasury: Ini adalah saham yang dimiliki oleh perusahaan yang telah diterbitkan dan diedarkan, </w:t>
      </w:r>
      <w:r>
        <w:rPr>
          <w:spacing w:val="-3"/>
          <w:sz w:val="24"/>
        </w:rPr>
        <w:t>yang </w:t>
      </w:r>
      <w:r>
        <w:rPr>
          <w:sz w:val="24"/>
        </w:rPr>
        <w:t>kemudian dibeli kembali oleh perusahaan untuk disimpan sebagai barang inventaris, yang dapat dijual kembali</w:t>
      </w:r>
      <w:r>
        <w:rPr>
          <w:spacing w:val="2"/>
          <w:sz w:val="24"/>
        </w:rPr>
        <w:t> </w:t>
      </w:r>
      <w:r>
        <w:rPr>
          <w:sz w:val="24"/>
        </w:rPr>
        <w:t>nanti.</w:t>
      </w:r>
    </w:p>
    <w:p>
      <w:pPr>
        <w:spacing w:after="0" w:line="480" w:lineRule="auto"/>
        <w:jc w:val="both"/>
        <w:rPr>
          <w:sz w:val="24"/>
        </w:rPr>
        <w:sectPr>
          <w:pgSz w:w="11910" w:h="16840"/>
          <w:pgMar w:header="0" w:footer="998" w:top="1580" w:bottom="1180" w:left="1680" w:right="900"/>
        </w:sectPr>
      </w:pPr>
    </w:p>
    <w:p>
      <w:pPr>
        <w:pStyle w:val="BodyText"/>
        <w:rPr>
          <w:sz w:val="20"/>
        </w:rPr>
      </w:pPr>
    </w:p>
    <w:p>
      <w:pPr>
        <w:pStyle w:val="BodyText"/>
        <w:rPr>
          <w:sz w:val="20"/>
        </w:rPr>
      </w:pPr>
    </w:p>
    <w:p>
      <w:pPr>
        <w:pStyle w:val="Heading3"/>
        <w:numPr>
          <w:ilvl w:val="2"/>
          <w:numId w:val="8"/>
        </w:numPr>
        <w:tabs>
          <w:tab w:pos="1153" w:val="left" w:leader="none"/>
        </w:tabs>
        <w:spacing w:line="240" w:lineRule="auto" w:before="209" w:after="0"/>
        <w:ind w:left="1153" w:right="0" w:hanging="567"/>
        <w:jc w:val="both"/>
      </w:pPr>
      <w:bookmarkStart w:name="_TOC_250005" w:id="21"/>
      <w:r>
        <w:rPr/>
        <w:t>Harga</w:t>
      </w:r>
      <w:r>
        <w:rPr>
          <w:spacing w:val="1"/>
        </w:rPr>
        <w:t> </w:t>
      </w:r>
      <w:bookmarkEnd w:id="21"/>
      <w:r>
        <w:rPr/>
        <w:t>Saham</w:t>
      </w:r>
    </w:p>
    <w:p>
      <w:pPr>
        <w:pStyle w:val="BodyText"/>
        <w:spacing w:before="7"/>
        <w:rPr>
          <w:b/>
          <w:sz w:val="23"/>
        </w:rPr>
      </w:pPr>
    </w:p>
    <w:p>
      <w:pPr>
        <w:pStyle w:val="BodyText"/>
        <w:spacing w:line="480" w:lineRule="auto"/>
        <w:ind w:left="586" w:right="799" w:firstLine="566"/>
        <w:jc w:val="both"/>
      </w:pPr>
      <w:r>
        <w:rPr/>
        <w:t>Harga saham menentukan kekayaan pemegang saham. Memaksimalkan kekayaan pemegang saham berarti memaksimalkan harga saham perusahaan. Jika seorang investor membeli saham, harga saham pada waktu tertentu akan tergantung pada arus kas </w:t>
      </w:r>
      <w:r>
        <w:rPr>
          <w:spacing w:val="-3"/>
        </w:rPr>
        <w:t>yang </w:t>
      </w:r>
      <w:r>
        <w:rPr/>
        <w:t>diharapkan diterima oleh investor rata-rata di </w:t>
      </w:r>
      <w:r>
        <w:rPr>
          <w:spacing w:val="-3"/>
        </w:rPr>
        <w:t>masa </w:t>
      </w:r>
      <w:r>
        <w:rPr/>
        <w:t>depan. (Alfianti &amp; Sonja, 2017). Kemudian menurut (Tjiptono &amp; Fakhruddin, 2012 : </w:t>
      </w:r>
      <w:r>
        <w:rPr>
          <w:spacing w:val="-3"/>
        </w:rPr>
        <w:t>5) </w:t>
      </w:r>
      <w:r>
        <w:rPr/>
        <w:t>Saham adalah simbol kepemilikan seseorang di perusahaan atau perseroan terbatas, di mana sahamnya adalah lembaran kertas tunggal, yang berarti bahwa pemilik kertas adalah pemilik perusahaan yang menerbitkan surat berharga.</w:t>
      </w:r>
    </w:p>
    <w:p>
      <w:pPr>
        <w:pStyle w:val="BodyText"/>
        <w:spacing w:line="480" w:lineRule="auto" w:before="2"/>
        <w:ind w:left="586" w:right="792" w:firstLine="566"/>
        <w:jc w:val="both"/>
      </w:pPr>
      <w:r>
        <w:rPr/>
        <w:t>Menurut (Jogiyanto, 2008 : 167) Harga saham mengacu pada harga saham yang muncul di pasar saham pada waktu tertentu. Harga ditentukan oleh pelaku pasar dan ditentukan oleh penawaran dan permintaan saham di pasar modal. Menurut Brigham &amp; Houston (2010 : 7) kekayaan pemegang saham dimaksimalkan, konversi pemegang saham dimaksimalkan, dan harga saham perusahaan dimaksimalkan. Harga saham satu kali akan tergantung pada arus kas yang perusahaan harapkan akan terima di masa depan. Jika investor membeli saham, investor biasa datar.</w:t>
      </w:r>
    </w:p>
    <w:p>
      <w:pPr>
        <w:pStyle w:val="BodyText"/>
        <w:spacing w:line="480" w:lineRule="auto" w:before="1"/>
        <w:ind w:left="586" w:right="797" w:firstLine="566"/>
        <w:jc w:val="both"/>
      </w:pPr>
      <w:r>
        <w:rPr/>
        <w:t>Berdasarkan pemahaman para ahli di atas, dapat disimpulkan bahwa saham ini adalah bukti kepemilikan suara perusahaan, termasuk nilai nominal, nama perusahaan dan deskripsi selanjutnya tentang hak dan kewajiban masing-masing pemegang. Harga saham adalah harga penutupan masing-masing sampel saham selama periode pengamatan, investor selalu mengamati tren.</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6" w:firstLine="566"/>
        <w:jc w:val="both"/>
      </w:pPr>
      <w:r>
        <w:rPr/>
        <w:t>Menurut Widoatmojo &amp; Sawidji (2005 : 54) ada beberapa harga saham adalah sebagai berikut:</w:t>
      </w:r>
    </w:p>
    <w:p>
      <w:pPr>
        <w:pStyle w:val="ListParagraph"/>
        <w:numPr>
          <w:ilvl w:val="0"/>
          <w:numId w:val="11"/>
        </w:numPr>
        <w:tabs>
          <w:tab w:pos="870" w:val="left" w:leader="none"/>
        </w:tabs>
        <w:spacing w:line="480" w:lineRule="auto" w:before="0" w:after="0"/>
        <w:ind w:left="869" w:right="799" w:hanging="284"/>
        <w:jc w:val="both"/>
        <w:rPr>
          <w:sz w:val="24"/>
        </w:rPr>
      </w:pPr>
      <w:r>
        <w:rPr>
          <w:sz w:val="24"/>
        </w:rPr>
        <w:t>Harga awal: Harga ini adalah harga ketika harga saham terdaftar di bursa saham. Harga saham di pasar primer biasanya ditentukan oleh penjamin emisi dan penerbitnya. Oleh karena itu, akan diketahui berapa banyak saham emiten yang biasanya dikeluarkan untuk menentukan harga</w:t>
      </w:r>
      <w:r>
        <w:rPr>
          <w:spacing w:val="4"/>
          <w:sz w:val="24"/>
        </w:rPr>
        <w:t> </w:t>
      </w:r>
      <w:r>
        <w:rPr>
          <w:sz w:val="24"/>
        </w:rPr>
        <w:t>awal.</w:t>
      </w:r>
    </w:p>
    <w:p>
      <w:pPr>
        <w:pStyle w:val="ListParagraph"/>
        <w:numPr>
          <w:ilvl w:val="0"/>
          <w:numId w:val="11"/>
        </w:numPr>
        <w:tabs>
          <w:tab w:pos="870" w:val="left" w:leader="none"/>
        </w:tabs>
        <w:spacing w:line="480" w:lineRule="auto" w:before="0" w:after="0"/>
        <w:ind w:left="869" w:right="802" w:hanging="284"/>
        <w:jc w:val="both"/>
        <w:rPr>
          <w:sz w:val="24"/>
        </w:rPr>
      </w:pPr>
      <w:r>
        <w:rPr>
          <w:sz w:val="24"/>
        </w:rPr>
        <w:t>Harga nominal: harga yang ditentukan dalam harga saham yang ditentukan oleh penerbit untuk evaluasi setiap saham yang diterbitkan. Jumlah ergonomi sangat penting untuk saham, karena dividen minimum biasanya ditentukan berdasarkan nilai</w:t>
      </w:r>
      <w:r>
        <w:rPr>
          <w:spacing w:val="-2"/>
          <w:sz w:val="24"/>
        </w:rPr>
        <w:t> </w:t>
      </w:r>
      <w:r>
        <w:rPr>
          <w:sz w:val="24"/>
        </w:rPr>
        <w:t>nominal.</w:t>
      </w:r>
    </w:p>
    <w:p>
      <w:pPr>
        <w:pStyle w:val="ListParagraph"/>
        <w:numPr>
          <w:ilvl w:val="0"/>
          <w:numId w:val="11"/>
        </w:numPr>
        <w:tabs>
          <w:tab w:pos="870" w:val="left" w:leader="none"/>
        </w:tabs>
        <w:spacing w:line="480" w:lineRule="auto" w:before="2" w:after="0"/>
        <w:ind w:left="869" w:right="797" w:hanging="284"/>
        <w:jc w:val="both"/>
        <w:rPr>
          <w:sz w:val="24"/>
        </w:rPr>
      </w:pPr>
      <w:r>
        <w:rPr>
          <w:sz w:val="24"/>
        </w:rPr>
        <w:t>Harga pembukaan: Harga entri buku mengacu pada harga </w:t>
      </w:r>
      <w:r>
        <w:rPr>
          <w:spacing w:val="-3"/>
          <w:sz w:val="24"/>
        </w:rPr>
        <w:t>yang </w:t>
      </w:r>
      <w:r>
        <w:rPr>
          <w:sz w:val="24"/>
        </w:rPr>
        <w:t>diminta oleh penjual atau pembeli ketika pertukaran dibuka. Ketika stok mulai diperdagangkan dan harga konsisten dengan persyaratan pembeli dan penjual, transaksi terjadi. Dalam hal </w:t>
      </w:r>
      <w:r>
        <w:rPr>
          <w:spacing w:val="-3"/>
          <w:sz w:val="24"/>
        </w:rPr>
        <w:t>ini, </w:t>
      </w:r>
      <w:r>
        <w:rPr>
          <w:sz w:val="24"/>
        </w:rPr>
        <w:t>harga pembukuan bisa menjadi harga pasar, jadi harga pasar terbalik juga bisa menjadi harga pembukaan. Tapi ini tidak selalu</w:t>
      </w:r>
      <w:r>
        <w:rPr>
          <w:spacing w:val="1"/>
          <w:sz w:val="24"/>
        </w:rPr>
        <w:t> </w:t>
      </w:r>
      <w:r>
        <w:rPr>
          <w:sz w:val="24"/>
        </w:rPr>
        <w:t>terjadi.</w:t>
      </w:r>
    </w:p>
    <w:p>
      <w:pPr>
        <w:pStyle w:val="ListParagraph"/>
        <w:numPr>
          <w:ilvl w:val="0"/>
          <w:numId w:val="11"/>
        </w:numPr>
        <w:tabs>
          <w:tab w:pos="870" w:val="left" w:leader="none"/>
        </w:tabs>
        <w:spacing w:line="480" w:lineRule="auto" w:before="1" w:after="0"/>
        <w:ind w:left="869" w:right="794" w:hanging="284"/>
        <w:jc w:val="both"/>
        <w:rPr>
          <w:sz w:val="24"/>
        </w:rPr>
      </w:pPr>
      <w:r>
        <w:rPr>
          <w:sz w:val="24"/>
        </w:rPr>
        <w:t>Harga pasar: </w:t>
      </w:r>
      <w:r>
        <w:rPr>
          <w:spacing w:val="-3"/>
          <w:sz w:val="24"/>
        </w:rPr>
        <w:t>Jika </w:t>
      </w:r>
      <w:r>
        <w:rPr>
          <w:sz w:val="24"/>
        </w:rPr>
        <w:t>harga awal adalah harga jual dari perjanjian emisi kepada investor, </w:t>
      </w:r>
      <w:r>
        <w:rPr>
          <w:spacing w:val="-3"/>
          <w:sz w:val="24"/>
        </w:rPr>
        <w:t>maka </w:t>
      </w:r>
      <w:r>
        <w:rPr>
          <w:sz w:val="24"/>
        </w:rPr>
        <w:t>harga pasar adalah harga jual dari satu investor dan investor </w:t>
      </w:r>
      <w:r>
        <w:rPr>
          <w:spacing w:val="-3"/>
          <w:sz w:val="24"/>
        </w:rPr>
        <w:t>lain. </w:t>
      </w:r>
      <w:r>
        <w:rPr>
          <w:sz w:val="24"/>
        </w:rPr>
        <w:t>Harga ini terjadi setelah stok catatan hiburan. Transaksi di sini tidak lagi melibatkan penerbit penjamin. Penerbit disebut harga pasar sekunder, dan harga ini benar-benar mewakili harga perusahaan penerbit, karena </w:t>
      </w:r>
      <w:r>
        <w:rPr>
          <w:spacing w:val="-3"/>
          <w:sz w:val="24"/>
        </w:rPr>
        <w:t>hampir </w:t>
      </w:r>
      <w:r>
        <w:rPr>
          <w:sz w:val="24"/>
        </w:rPr>
        <w:t>tidak ada negosiasi investasi antara harga penerbit dan transaksi penerbit di</w:t>
      </w:r>
      <w:r>
        <w:rPr>
          <w:spacing w:val="8"/>
          <w:sz w:val="24"/>
        </w:rPr>
        <w:t> </w:t>
      </w:r>
      <w:r>
        <w:rPr>
          <w:sz w:val="24"/>
        </w:rPr>
        <w:t>pasar</w:t>
      </w:r>
    </w:p>
    <w:p>
      <w:pPr>
        <w:spacing w:after="0" w:line="480" w:lineRule="auto"/>
        <w:jc w:val="both"/>
        <w:rPr>
          <w:sz w:val="24"/>
        </w:rPr>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869" w:right="804"/>
        <w:jc w:val="both"/>
      </w:pPr>
      <w:r>
        <w:rPr/>
        <w:t>sekunder. . Perusahaan Harga harian yang diterbitkan oleh surat kabar atau media lain adalah harga pasar.</w:t>
      </w:r>
    </w:p>
    <w:p>
      <w:pPr>
        <w:pStyle w:val="ListParagraph"/>
        <w:numPr>
          <w:ilvl w:val="0"/>
          <w:numId w:val="11"/>
        </w:numPr>
        <w:tabs>
          <w:tab w:pos="870" w:val="left" w:leader="none"/>
        </w:tabs>
        <w:spacing w:line="480" w:lineRule="auto" w:before="0" w:after="0"/>
        <w:ind w:left="869" w:right="798" w:hanging="284"/>
        <w:jc w:val="both"/>
        <w:rPr>
          <w:sz w:val="24"/>
        </w:rPr>
      </w:pPr>
      <w:r>
        <w:rPr>
          <w:sz w:val="24"/>
        </w:rPr>
        <w:t>Harga penutupan: Harga penutupan adalah harga </w:t>
      </w:r>
      <w:r>
        <w:rPr>
          <w:spacing w:val="-3"/>
          <w:sz w:val="24"/>
        </w:rPr>
        <w:t>yang </w:t>
      </w:r>
      <w:r>
        <w:rPr>
          <w:sz w:val="24"/>
        </w:rPr>
        <w:t>diminta oleh pembeli dan penjual pada akhir hari perdagangan. Dalam hal </w:t>
      </w:r>
      <w:r>
        <w:rPr>
          <w:spacing w:val="-3"/>
          <w:sz w:val="24"/>
        </w:rPr>
        <w:t>ini, </w:t>
      </w:r>
      <w:r>
        <w:rPr>
          <w:sz w:val="24"/>
        </w:rPr>
        <w:t>karena pembeli </w:t>
      </w:r>
      <w:r>
        <w:rPr>
          <w:spacing w:val="2"/>
          <w:sz w:val="24"/>
        </w:rPr>
        <w:t>dan </w:t>
      </w:r>
      <w:r>
        <w:rPr>
          <w:sz w:val="24"/>
        </w:rPr>
        <w:t>penjual telah mencapai kesepakatan, perdagangan saham dapat terjadi secara tiba-tiba pada akhir hari perdagangan. Dalam hal </w:t>
      </w:r>
      <w:r>
        <w:rPr>
          <w:spacing w:val="-3"/>
          <w:sz w:val="24"/>
        </w:rPr>
        <w:t>ini, </w:t>
      </w:r>
      <w:r>
        <w:rPr>
          <w:sz w:val="24"/>
        </w:rPr>
        <w:t>harga penutupan akan menjadi harga pasar. Namun, harga masih merupakan harga penutupan hari perdagangan.</w:t>
      </w:r>
    </w:p>
    <w:p>
      <w:pPr>
        <w:pStyle w:val="ListParagraph"/>
        <w:numPr>
          <w:ilvl w:val="0"/>
          <w:numId w:val="11"/>
        </w:numPr>
        <w:tabs>
          <w:tab w:pos="870" w:val="left" w:leader="none"/>
        </w:tabs>
        <w:spacing w:line="240" w:lineRule="auto" w:before="1" w:after="0"/>
        <w:ind w:left="869" w:right="0" w:hanging="284"/>
        <w:jc w:val="both"/>
        <w:rPr>
          <w:sz w:val="24"/>
        </w:rPr>
      </w:pPr>
      <w:r>
        <w:rPr>
          <w:sz w:val="24"/>
        </w:rPr>
        <w:t>Harga rata-rata: Harga rata-rata menstabilkan harga tertinggi dan</w:t>
      </w:r>
      <w:r>
        <w:rPr>
          <w:spacing w:val="-14"/>
          <w:sz w:val="24"/>
        </w:rPr>
        <w:t> </w:t>
      </w:r>
      <w:r>
        <w:rPr>
          <w:sz w:val="24"/>
        </w:rPr>
        <w:t>terendah</w:t>
      </w:r>
    </w:p>
    <w:p>
      <w:pPr>
        <w:pStyle w:val="BodyText"/>
      </w:pPr>
    </w:p>
    <w:p>
      <w:pPr>
        <w:pStyle w:val="ListParagraph"/>
        <w:numPr>
          <w:ilvl w:val="0"/>
          <w:numId w:val="11"/>
        </w:numPr>
        <w:tabs>
          <w:tab w:pos="870" w:val="left" w:leader="none"/>
        </w:tabs>
        <w:spacing w:line="480" w:lineRule="auto" w:before="0" w:after="0"/>
        <w:ind w:left="869" w:right="799" w:hanging="284"/>
        <w:jc w:val="both"/>
        <w:rPr>
          <w:sz w:val="24"/>
        </w:rPr>
      </w:pPr>
      <w:r>
        <w:rPr>
          <w:sz w:val="24"/>
        </w:rPr>
        <w:t>Harga terendah: Harga terendah suatu saham adalah harga terendah yang terjadi pada hari perdagangan. Jika harga beberapa transaksi pada saham berbeda, </w:t>
      </w:r>
      <w:r>
        <w:rPr>
          <w:spacing w:val="-3"/>
          <w:sz w:val="24"/>
        </w:rPr>
        <w:t>maka </w:t>
      </w:r>
      <w:r>
        <w:rPr>
          <w:sz w:val="24"/>
        </w:rPr>
        <w:t>harga itu mungkin muncul. Dengan kata </w:t>
      </w:r>
      <w:r>
        <w:rPr>
          <w:spacing w:val="-4"/>
          <w:sz w:val="24"/>
        </w:rPr>
        <w:t>lain, </w:t>
      </w:r>
      <w:r>
        <w:rPr>
          <w:sz w:val="24"/>
        </w:rPr>
        <w:t>harga terendah berlawanan dengan harga</w:t>
      </w:r>
      <w:r>
        <w:rPr>
          <w:spacing w:val="-1"/>
          <w:sz w:val="24"/>
        </w:rPr>
        <w:t> </w:t>
      </w:r>
      <w:r>
        <w:rPr>
          <w:sz w:val="24"/>
        </w:rPr>
        <w:t>tertinggi.</w:t>
      </w:r>
    </w:p>
    <w:p>
      <w:pPr>
        <w:pStyle w:val="ListParagraph"/>
        <w:numPr>
          <w:ilvl w:val="0"/>
          <w:numId w:val="11"/>
        </w:numPr>
        <w:tabs>
          <w:tab w:pos="870" w:val="left" w:leader="none"/>
        </w:tabs>
        <w:spacing w:line="480" w:lineRule="auto" w:before="1" w:after="0"/>
        <w:ind w:left="869" w:right="793" w:hanging="284"/>
        <w:jc w:val="both"/>
        <w:rPr>
          <w:sz w:val="24"/>
        </w:rPr>
      </w:pPr>
      <w:r>
        <w:rPr>
          <w:sz w:val="24"/>
        </w:rPr>
        <w:t>Harga tertinggi: Harga tertinggi suatu saham adalah harga tertinggi yang terjadi pada hari perdagangan. Harga ini dapat memperdagangkan saham beberapa kali dengan harga </w:t>
      </w:r>
      <w:r>
        <w:rPr>
          <w:spacing w:val="-3"/>
          <w:sz w:val="24"/>
        </w:rPr>
        <w:t>yang</w:t>
      </w:r>
      <w:r>
        <w:rPr>
          <w:spacing w:val="1"/>
          <w:sz w:val="24"/>
        </w:rPr>
        <w:t> </w:t>
      </w:r>
      <w:r>
        <w:rPr>
          <w:sz w:val="24"/>
        </w:rPr>
        <w:t>berbeda.</w:t>
      </w:r>
    </w:p>
    <w:p>
      <w:pPr>
        <w:pStyle w:val="Heading3"/>
        <w:numPr>
          <w:ilvl w:val="2"/>
          <w:numId w:val="8"/>
        </w:numPr>
        <w:tabs>
          <w:tab w:pos="1153" w:val="left" w:leader="none"/>
        </w:tabs>
        <w:spacing w:line="240" w:lineRule="auto" w:before="6" w:after="0"/>
        <w:ind w:left="1153" w:right="0" w:hanging="567"/>
        <w:jc w:val="both"/>
      </w:pPr>
      <w:bookmarkStart w:name="_TOC_250004" w:id="22"/>
      <w:bookmarkEnd w:id="22"/>
      <w:r>
        <w:rPr/>
        <w:t>Faktor-faktor Yang Mempengaruhi Harga Saham</w:t>
      </w:r>
    </w:p>
    <w:p>
      <w:pPr>
        <w:pStyle w:val="BodyText"/>
        <w:spacing w:before="6"/>
        <w:rPr>
          <w:b/>
          <w:sz w:val="23"/>
        </w:rPr>
      </w:pPr>
    </w:p>
    <w:p>
      <w:pPr>
        <w:pStyle w:val="BodyText"/>
        <w:spacing w:line="480" w:lineRule="auto"/>
        <w:ind w:left="586" w:right="793" w:firstLine="566"/>
        <w:jc w:val="both"/>
      </w:pPr>
      <w:r>
        <w:rPr/>
        <w:t>Alfianti (2017 : 34) Ada banyak faktor </w:t>
      </w:r>
      <w:r>
        <w:rPr>
          <w:spacing w:val="-3"/>
        </w:rPr>
        <w:t>yang </w:t>
      </w:r>
      <w:r>
        <w:rPr/>
        <w:t>mempengaruhi  perubahan harga saham atau indeks harga saham. Faktor-faktor ini dapat dimasukkan dalam faktor dasar lingkungan internal dan kondisi ekonomi lingkungan eksternal. Faktor-faktor </w:t>
      </w:r>
      <w:r>
        <w:rPr>
          <w:spacing w:val="-3"/>
        </w:rPr>
        <w:t>yang </w:t>
      </w:r>
      <w:r>
        <w:rPr/>
        <w:t>mempengaruhi harga saham ini meliputi</w:t>
      </w:r>
      <w:r>
        <w:rPr>
          <w:spacing w:val="-3"/>
        </w:rPr>
        <w:t> </w:t>
      </w:r>
      <w:r>
        <w:rPr/>
        <w:t>:</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ListParagraph"/>
        <w:numPr>
          <w:ilvl w:val="0"/>
          <w:numId w:val="12"/>
        </w:numPr>
        <w:tabs>
          <w:tab w:pos="1153" w:val="left" w:leader="none"/>
        </w:tabs>
        <w:spacing w:line="240" w:lineRule="auto" w:before="205" w:after="0"/>
        <w:ind w:left="1153" w:right="0" w:hanging="284"/>
        <w:jc w:val="left"/>
        <w:rPr>
          <w:sz w:val="24"/>
        </w:rPr>
      </w:pPr>
      <w:r>
        <w:rPr>
          <w:sz w:val="24"/>
        </w:rPr>
        <w:t>Faktor</w:t>
      </w:r>
      <w:r>
        <w:rPr>
          <w:spacing w:val="-2"/>
          <w:sz w:val="24"/>
        </w:rPr>
        <w:t> </w:t>
      </w:r>
      <w:r>
        <w:rPr>
          <w:sz w:val="24"/>
        </w:rPr>
        <w:t>Fundamental</w:t>
      </w:r>
    </w:p>
    <w:p>
      <w:pPr>
        <w:pStyle w:val="BodyText"/>
      </w:pPr>
    </w:p>
    <w:p>
      <w:pPr>
        <w:pStyle w:val="ListParagraph"/>
        <w:numPr>
          <w:ilvl w:val="1"/>
          <w:numId w:val="12"/>
        </w:numPr>
        <w:tabs>
          <w:tab w:pos="1437" w:val="left" w:leader="none"/>
        </w:tabs>
        <w:spacing w:line="480" w:lineRule="auto" w:before="0" w:after="0"/>
        <w:ind w:left="1436" w:right="797" w:hanging="284"/>
        <w:jc w:val="both"/>
        <w:rPr>
          <w:sz w:val="24"/>
        </w:rPr>
      </w:pPr>
      <w:r>
        <w:rPr>
          <w:sz w:val="24"/>
        </w:rPr>
        <w:t>Pengumuman tentang pemasaran, produksi, penjualan seperti pengiklanan, rincian kontrak, perubahan harga, penarikan produk baru, laporan produksi, laporan keamanan produk, dan laporan</w:t>
      </w:r>
      <w:r>
        <w:rPr>
          <w:spacing w:val="-12"/>
          <w:sz w:val="24"/>
        </w:rPr>
        <w:t> </w:t>
      </w:r>
      <w:r>
        <w:rPr>
          <w:sz w:val="24"/>
        </w:rPr>
        <w:t>penjualan.</w:t>
      </w:r>
    </w:p>
    <w:p>
      <w:pPr>
        <w:pStyle w:val="ListParagraph"/>
        <w:numPr>
          <w:ilvl w:val="1"/>
          <w:numId w:val="12"/>
        </w:numPr>
        <w:tabs>
          <w:tab w:pos="1437" w:val="left" w:leader="none"/>
        </w:tabs>
        <w:spacing w:line="480" w:lineRule="auto" w:before="0" w:after="0"/>
        <w:ind w:left="1436" w:right="793" w:hanging="284"/>
        <w:jc w:val="both"/>
        <w:rPr>
          <w:sz w:val="24"/>
        </w:rPr>
      </w:pPr>
      <w:r>
        <w:rPr>
          <w:sz w:val="24"/>
        </w:rPr>
        <w:t>Pengumuman Laporan Keuangan seperti peramalan laba sebelum akhir tahun fiskal dan setelah akhir tahun fiskal, </w:t>
      </w:r>
      <w:r>
        <w:rPr>
          <w:i/>
          <w:sz w:val="24"/>
        </w:rPr>
        <w:t>Gross Profit Margin </w:t>
      </w:r>
      <w:r>
        <w:rPr>
          <w:sz w:val="24"/>
        </w:rPr>
        <w:t>(GPM), </w:t>
      </w:r>
      <w:r>
        <w:rPr>
          <w:i/>
          <w:sz w:val="24"/>
        </w:rPr>
        <w:t>Operating Profit Margin </w:t>
      </w:r>
      <w:r>
        <w:rPr>
          <w:sz w:val="24"/>
        </w:rPr>
        <w:t>(OPM), </w:t>
      </w:r>
      <w:r>
        <w:rPr>
          <w:i/>
          <w:sz w:val="24"/>
        </w:rPr>
        <w:t>Return on Assets </w:t>
      </w:r>
      <w:r>
        <w:rPr>
          <w:sz w:val="24"/>
        </w:rPr>
        <w:t>(ROA), </w:t>
      </w:r>
      <w:r>
        <w:rPr>
          <w:i/>
          <w:sz w:val="24"/>
        </w:rPr>
        <w:t>Return on </w:t>
      </w:r>
      <w:r>
        <w:rPr>
          <w:i/>
          <w:sz w:val="24"/>
        </w:rPr>
        <w:t>Equity </w:t>
      </w:r>
      <w:r>
        <w:rPr>
          <w:sz w:val="24"/>
        </w:rPr>
        <w:t>(ROE), </w:t>
      </w:r>
      <w:r>
        <w:rPr>
          <w:i/>
          <w:sz w:val="24"/>
        </w:rPr>
        <w:t>Earning Per Share</w:t>
      </w:r>
      <w:r>
        <w:rPr>
          <w:i/>
          <w:spacing w:val="5"/>
          <w:sz w:val="24"/>
        </w:rPr>
        <w:t> </w:t>
      </w:r>
      <w:r>
        <w:rPr>
          <w:sz w:val="24"/>
        </w:rPr>
        <w:t>(EPS).</w:t>
      </w:r>
    </w:p>
    <w:p>
      <w:pPr>
        <w:pStyle w:val="ListParagraph"/>
        <w:numPr>
          <w:ilvl w:val="0"/>
          <w:numId w:val="12"/>
        </w:numPr>
        <w:tabs>
          <w:tab w:pos="1153" w:val="left" w:leader="none"/>
        </w:tabs>
        <w:spacing w:line="240" w:lineRule="auto" w:before="1" w:after="0"/>
        <w:ind w:left="1153" w:right="0" w:hanging="284"/>
        <w:jc w:val="left"/>
        <w:rPr>
          <w:sz w:val="24"/>
        </w:rPr>
      </w:pPr>
      <w:r>
        <w:rPr>
          <w:sz w:val="24"/>
        </w:rPr>
        <w:t>Faktor Kondisi</w:t>
      </w:r>
      <w:r>
        <w:rPr>
          <w:spacing w:val="-2"/>
          <w:sz w:val="24"/>
        </w:rPr>
        <w:t> </w:t>
      </w:r>
      <w:r>
        <w:rPr>
          <w:sz w:val="24"/>
        </w:rPr>
        <w:t>Ekonomi</w:t>
      </w:r>
    </w:p>
    <w:p>
      <w:pPr>
        <w:pStyle w:val="BodyText"/>
      </w:pPr>
    </w:p>
    <w:p>
      <w:pPr>
        <w:pStyle w:val="ListParagraph"/>
        <w:numPr>
          <w:ilvl w:val="0"/>
          <w:numId w:val="13"/>
        </w:numPr>
        <w:tabs>
          <w:tab w:pos="1514" w:val="left" w:leader="none"/>
        </w:tabs>
        <w:spacing w:line="480" w:lineRule="auto" w:before="0" w:after="0"/>
        <w:ind w:left="1513" w:right="792" w:hanging="361"/>
        <w:jc w:val="both"/>
        <w:rPr>
          <w:sz w:val="24"/>
        </w:rPr>
      </w:pPr>
      <w:r>
        <w:rPr>
          <w:sz w:val="24"/>
        </w:rPr>
        <w:t>Pemberitahuan hukum, seperti apa yang diminta karyawan </w:t>
      </w:r>
      <w:r>
        <w:rPr>
          <w:spacing w:val="2"/>
          <w:sz w:val="24"/>
        </w:rPr>
        <w:t>dari </w:t>
      </w:r>
      <w:r>
        <w:rPr>
          <w:sz w:val="24"/>
        </w:rPr>
        <w:t>perusahaan atau manajernya dan apa yang dituntut perusahaan </w:t>
      </w:r>
      <w:r>
        <w:rPr>
          <w:spacing w:val="3"/>
          <w:sz w:val="24"/>
        </w:rPr>
        <w:t>dari </w:t>
      </w:r>
      <w:r>
        <w:rPr>
          <w:sz w:val="24"/>
        </w:rPr>
        <w:t>manajer</w:t>
      </w:r>
    </w:p>
    <w:p>
      <w:pPr>
        <w:pStyle w:val="ListParagraph"/>
        <w:numPr>
          <w:ilvl w:val="0"/>
          <w:numId w:val="13"/>
        </w:numPr>
        <w:tabs>
          <w:tab w:pos="1514" w:val="left" w:leader="none"/>
        </w:tabs>
        <w:spacing w:line="480" w:lineRule="auto" w:before="1" w:after="0"/>
        <w:ind w:left="1513" w:right="796" w:hanging="361"/>
        <w:jc w:val="both"/>
        <w:rPr>
          <w:sz w:val="24"/>
        </w:rPr>
      </w:pPr>
      <w:r>
        <w:rPr>
          <w:sz w:val="24"/>
        </w:rPr>
        <w:t>Satu Pengumuman </w:t>
      </w:r>
      <w:r>
        <w:rPr>
          <w:spacing w:val="-3"/>
          <w:sz w:val="24"/>
        </w:rPr>
        <w:t>yang </w:t>
      </w:r>
      <w:r>
        <w:rPr>
          <w:sz w:val="24"/>
        </w:rPr>
        <w:t>dikeluarkan oleh pemerintah, seperti perubahan suku bunga tabungan, inflasi, deposito, nilai tukar dan berbagai regulasi dan deregulasi ekonomi yang diumumkan oleh</w:t>
      </w:r>
      <w:r>
        <w:rPr>
          <w:spacing w:val="-15"/>
          <w:sz w:val="24"/>
        </w:rPr>
        <w:t> </w:t>
      </w:r>
      <w:r>
        <w:rPr>
          <w:sz w:val="24"/>
        </w:rPr>
        <w:t>pemerintah</w:t>
      </w:r>
    </w:p>
    <w:p>
      <w:pPr>
        <w:pStyle w:val="Heading3"/>
        <w:numPr>
          <w:ilvl w:val="2"/>
          <w:numId w:val="8"/>
        </w:numPr>
        <w:tabs>
          <w:tab w:pos="1153" w:val="left" w:leader="none"/>
        </w:tabs>
        <w:spacing w:line="240" w:lineRule="auto" w:before="5" w:after="0"/>
        <w:ind w:left="1153" w:right="0" w:hanging="567"/>
        <w:jc w:val="both"/>
      </w:pPr>
      <w:bookmarkStart w:name="_TOC_250003" w:id="23"/>
      <w:r>
        <w:rPr/>
        <w:t>Hubungan Antar</w:t>
      </w:r>
      <w:r>
        <w:rPr>
          <w:spacing w:val="-7"/>
        </w:rPr>
        <w:t> </w:t>
      </w:r>
      <w:bookmarkEnd w:id="23"/>
      <w:r>
        <w:rPr/>
        <w:t>Variabel</w:t>
      </w:r>
    </w:p>
    <w:p>
      <w:pPr>
        <w:pStyle w:val="BodyText"/>
        <w:spacing w:before="7"/>
        <w:rPr>
          <w:b/>
          <w:sz w:val="23"/>
        </w:rPr>
      </w:pPr>
    </w:p>
    <w:p>
      <w:pPr>
        <w:pStyle w:val="ListParagraph"/>
        <w:numPr>
          <w:ilvl w:val="0"/>
          <w:numId w:val="14"/>
        </w:numPr>
        <w:tabs>
          <w:tab w:pos="1153" w:val="left" w:leader="none"/>
        </w:tabs>
        <w:spacing w:line="240" w:lineRule="auto" w:before="0" w:after="0"/>
        <w:ind w:left="1153" w:right="0" w:hanging="284"/>
        <w:jc w:val="left"/>
        <w:rPr>
          <w:sz w:val="24"/>
        </w:rPr>
      </w:pPr>
      <w:r>
        <w:rPr>
          <w:sz w:val="24"/>
        </w:rPr>
        <w:t>Hubungan </w:t>
      </w:r>
      <w:r>
        <w:rPr>
          <w:i/>
          <w:sz w:val="24"/>
        </w:rPr>
        <w:t>Return on Assets </w:t>
      </w:r>
      <w:r>
        <w:rPr>
          <w:sz w:val="24"/>
        </w:rPr>
        <w:t>Terhadap Harga</w:t>
      </w:r>
      <w:r>
        <w:rPr>
          <w:spacing w:val="3"/>
          <w:sz w:val="24"/>
        </w:rPr>
        <w:t> </w:t>
      </w:r>
      <w:r>
        <w:rPr>
          <w:sz w:val="24"/>
        </w:rPr>
        <w:t>Saham</w:t>
      </w:r>
    </w:p>
    <w:p>
      <w:pPr>
        <w:pStyle w:val="BodyText"/>
      </w:pPr>
    </w:p>
    <w:p>
      <w:pPr>
        <w:pStyle w:val="BodyText"/>
        <w:spacing w:line="480" w:lineRule="auto"/>
        <w:ind w:left="1153" w:right="800"/>
        <w:jc w:val="both"/>
      </w:pPr>
      <w:r>
        <w:rPr>
          <w:i/>
        </w:rPr>
        <w:t>Return on aset </w:t>
      </w:r>
      <w:r>
        <w:rPr/>
        <w:t>(ROA) digunakan untuk mengukur laba bersih yang dihasilkan oleh penggunaan aset. Semakin besar pengembalian atas aset (ROA), semakin baik, karena perusahaan menghasilkan margin laba yang lebih tinggi melalui manajemen aset. Jika manajemen aset lebih efektif, kepercayaan investor pada perusahaan akan meningkat, sehingga meningkatkan harga saham (Abigael dan Ika, 2008 : 78).</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ListParagraph"/>
        <w:numPr>
          <w:ilvl w:val="0"/>
          <w:numId w:val="14"/>
        </w:numPr>
        <w:tabs>
          <w:tab w:pos="1153" w:val="left" w:leader="none"/>
        </w:tabs>
        <w:spacing w:line="240" w:lineRule="auto" w:before="205" w:after="0"/>
        <w:ind w:left="1153" w:right="0" w:hanging="284"/>
        <w:jc w:val="left"/>
        <w:rPr>
          <w:sz w:val="24"/>
        </w:rPr>
      </w:pPr>
      <w:r>
        <w:rPr>
          <w:sz w:val="24"/>
        </w:rPr>
        <w:t>Hubungan </w:t>
      </w:r>
      <w:r>
        <w:rPr>
          <w:i/>
          <w:sz w:val="24"/>
        </w:rPr>
        <w:t>Return on Equity </w:t>
      </w:r>
      <w:r>
        <w:rPr>
          <w:sz w:val="24"/>
        </w:rPr>
        <w:t>Terhadap Harga Saham</w:t>
      </w:r>
    </w:p>
    <w:p>
      <w:pPr>
        <w:pStyle w:val="BodyText"/>
      </w:pPr>
    </w:p>
    <w:p>
      <w:pPr>
        <w:pStyle w:val="BodyText"/>
        <w:spacing w:line="480" w:lineRule="auto"/>
        <w:ind w:left="1153" w:right="789"/>
        <w:jc w:val="both"/>
      </w:pPr>
      <w:r>
        <w:rPr>
          <w:i/>
        </w:rPr>
        <w:t>Return on equity (ROE) </w:t>
      </w:r>
      <w:r>
        <w:rPr/>
        <w:t>digunakan untuk mengukur </w:t>
      </w:r>
      <w:r>
        <w:rPr>
          <w:spacing w:val="-3"/>
        </w:rPr>
        <w:t>laba </w:t>
      </w:r>
      <w:r>
        <w:rPr/>
        <w:t>atas investasi pemegang saham. Rasio ini menggambarkan bagaimana manajemen memaksimalkan investasi pemegang saham. Return on equity (ROE) adalah perbandingan antara pendapatan setelah pajak dan modal sendiri. Biasanya, setelah return on equity meningkat, harga saham perusahaan juga naik. Semakin tinggi return on equity, semakin tinggi harga saham, karena return on equity menunjukkan bahwa investor akan mendapatkan pengembalian yang tinggi, sehingga investor akan tertarik untuk membeli saham-saham </w:t>
      </w:r>
      <w:r>
        <w:rPr>
          <w:spacing w:val="-3"/>
        </w:rPr>
        <w:t>ini, </w:t>
      </w:r>
      <w:r>
        <w:rPr/>
        <w:t>yang menyebabkan harga pasar saham cenderung naik. (Harahap, 2007 : 156).</w:t>
      </w:r>
    </w:p>
    <w:p>
      <w:pPr>
        <w:pStyle w:val="Heading3"/>
        <w:numPr>
          <w:ilvl w:val="2"/>
          <w:numId w:val="8"/>
        </w:numPr>
        <w:tabs>
          <w:tab w:pos="1307" w:val="left" w:leader="none"/>
        </w:tabs>
        <w:spacing w:line="240" w:lineRule="auto" w:before="6" w:after="0"/>
        <w:ind w:left="1306" w:right="0" w:hanging="721"/>
        <w:jc w:val="both"/>
      </w:pPr>
      <w:bookmarkStart w:name="_TOC_250002" w:id="24"/>
      <w:r>
        <w:rPr/>
        <w:t>Penelitian</w:t>
      </w:r>
      <w:r>
        <w:rPr>
          <w:spacing w:val="2"/>
        </w:rPr>
        <w:t> </w:t>
      </w:r>
      <w:bookmarkEnd w:id="24"/>
      <w:r>
        <w:rPr/>
        <w:t>Terdahulu</w:t>
      </w:r>
    </w:p>
    <w:p>
      <w:pPr>
        <w:pStyle w:val="BodyText"/>
        <w:spacing w:before="7"/>
        <w:rPr>
          <w:b/>
          <w:sz w:val="23"/>
        </w:rPr>
      </w:pPr>
    </w:p>
    <w:p>
      <w:pPr>
        <w:pStyle w:val="BodyText"/>
        <w:spacing w:line="480" w:lineRule="auto"/>
        <w:ind w:left="586" w:right="789" w:firstLine="566"/>
        <w:jc w:val="both"/>
      </w:pPr>
      <w:r>
        <w:rPr/>
        <w:t>Pande Widya Rahmadewi (2018). Judul penelitian ini adalah dampak EPS, PER, CR dan ROE pada harga saham perusahaan otomotif dan suku cadang di Bursa Efek Indonesia. Analisis yang digunakan adalah regresi berganda. Menurut hasil analisis, ditemukan bahwa EPS, PER, CR dan ROE juga memiliki dampak signifikan terhadap harga saham. Beberapa ROE berdampak negatif pada harga saham.</w:t>
      </w:r>
    </w:p>
    <w:p>
      <w:pPr>
        <w:pStyle w:val="BodyText"/>
        <w:spacing w:line="480" w:lineRule="auto" w:before="1"/>
        <w:ind w:left="586" w:right="791" w:firstLine="566"/>
        <w:jc w:val="both"/>
      </w:pPr>
      <w:r>
        <w:rPr/>
        <w:t>Neneng Tita Amalya, (2018) Pengembalian aset, pengembalian aset bersih, margin laba bersih, </w:t>
      </w:r>
      <w:r>
        <w:rPr>
          <w:spacing w:val="2"/>
        </w:rPr>
        <w:t>dan </w:t>
      </w:r>
      <w:r>
        <w:rPr/>
        <w:t>rasio utang terhadap harga saham. Gunakan analisis regresi berganda. Menurut hasil analisis data dampak ROA, ROE, margin laba bersih (NPM) dan rasio utang terhadap ekuitas (DER) terhadap harga saham perusahaan</w:t>
      </w:r>
      <w:r>
        <w:rPr>
          <w:spacing w:val="9"/>
        </w:rPr>
        <w:t> </w:t>
      </w:r>
      <w:r>
        <w:rPr>
          <w:spacing w:val="-3"/>
        </w:rPr>
        <w:t>yang</w:t>
      </w:r>
      <w:r>
        <w:rPr>
          <w:spacing w:val="9"/>
        </w:rPr>
        <w:t> </w:t>
      </w:r>
      <w:r>
        <w:rPr/>
        <w:t>terdaftar,</w:t>
      </w:r>
      <w:r>
        <w:rPr>
          <w:spacing w:val="11"/>
        </w:rPr>
        <w:t> </w:t>
      </w:r>
      <w:r>
        <w:rPr/>
        <w:t>nilai</w:t>
      </w:r>
      <w:r>
        <w:rPr>
          <w:spacing w:val="1"/>
        </w:rPr>
        <w:t> </w:t>
      </w:r>
      <w:r>
        <w:rPr/>
        <w:t>tukar</w:t>
      </w:r>
      <w:r>
        <w:rPr>
          <w:spacing w:val="11"/>
        </w:rPr>
        <w:t> </w:t>
      </w:r>
      <w:r>
        <w:rPr/>
        <w:t>kinerja</w:t>
      </w:r>
      <w:r>
        <w:rPr>
          <w:spacing w:val="9"/>
        </w:rPr>
        <w:t> </w:t>
      </w:r>
      <w:r>
        <w:rPr/>
        <w:t>Indonesia</w:t>
      </w:r>
      <w:r>
        <w:rPr>
          <w:spacing w:val="8"/>
        </w:rPr>
        <w:t> </w:t>
      </w:r>
      <w:r>
        <w:rPr/>
        <w:t>pada</w:t>
      </w:r>
      <w:r>
        <w:rPr>
          <w:spacing w:val="8"/>
        </w:rPr>
        <w:t> </w:t>
      </w:r>
      <w:r>
        <w:rPr/>
        <w:t>2012-2014,</w:t>
      </w:r>
      <w:r>
        <w:rPr>
          <w:spacing w:val="8"/>
        </w:rPr>
        <w:t> </w:t>
      </w:r>
      <w:r>
        <w:rPr/>
        <w:t>(1)</w:t>
      </w:r>
      <w:r>
        <w:rPr>
          <w:spacing w:val="11"/>
        </w:rPr>
        <w:t> </w:t>
      </w:r>
      <w:r>
        <w:rPr/>
        <w:t>ROE</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3"/>
        <w:jc w:val="both"/>
      </w:pPr>
      <w:r>
        <w:rPr/>
        <w:t>tidak memiliki dampak signifikan terhadap harga saham . Pengembalian aset bersih berkorelasi positif dengan harga saham. Ini berarti bahwa ketika laba atas ekuitas meningkat, demikian pula harga saham. Untuk investor ROE di perusahaan pertambangan, investor bukanlah salah satu faktor </w:t>
      </w:r>
      <w:r>
        <w:rPr>
          <w:spacing w:val="-3"/>
        </w:rPr>
        <w:t>yang </w:t>
      </w:r>
      <w:r>
        <w:rPr/>
        <w:t>menentukan keputusan investasi mereka. Investor </w:t>
      </w:r>
      <w:r>
        <w:rPr>
          <w:spacing w:val="-3"/>
        </w:rPr>
        <w:t>masih </w:t>
      </w:r>
      <w:r>
        <w:rPr/>
        <w:t>percaya bahwa capital gain dan dividen menarik untuk menentukan investasi. (2) Pengembalian aset tidak memiliki dampak signifikan terhadap harga saham. ROA berkorelasi positif dengan harga saham. Ini berarti bahwa ketika pengembalian aset meningkat, demikian juga harga saham. Dibandingkan dengan kemampuan perusahaan untuk mendapatkan keuntungan dari asetnya, investor di perusahaan pertambangan lebih cenderung berinvestasi di perusahaan mengingat pengembalian yang mereka terima. (3) NPM memiliki dampak signifikan terhadap harga saham. NPM berkorelasi positif dengan harga saham. Ini berarti bahwa ketika NPM naik, harga saham akan naik. Ini menunjukkan bahwa investor </w:t>
      </w:r>
      <w:r>
        <w:rPr>
          <w:spacing w:val="-3"/>
        </w:rPr>
        <w:t>lebih </w:t>
      </w:r>
      <w:r>
        <w:rPr/>
        <w:t>memperhatikan kemampuan perusahaan untuk memperoleh laba bersih, sehingga mereka dapat memahami pengembalian yang diperoleh investor. (4) DER tidak memiliki dampak signifikan terhadap harga saham. DER berkorelasi positif dengan harga saham.</w:t>
      </w:r>
    </w:p>
    <w:p>
      <w:pPr>
        <w:pStyle w:val="BodyText"/>
        <w:spacing w:line="480" w:lineRule="auto" w:before="3"/>
        <w:ind w:left="586" w:right="796" w:firstLine="566"/>
        <w:jc w:val="both"/>
      </w:pPr>
      <w:r>
        <w:rPr/>
        <w:t>Muhammad Sani Kurniawan (2018) Pengaruh </w:t>
      </w:r>
      <w:r>
        <w:rPr>
          <w:i/>
        </w:rPr>
        <w:t>Return on aset </w:t>
      </w:r>
      <w:r>
        <w:rPr/>
        <w:t>(ROA), </w:t>
      </w:r>
      <w:r>
        <w:rPr>
          <w:i/>
        </w:rPr>
        <w:t>Return on equity </w:t>
      </w:r>
      <w:r>
        <w:rPr/>
        <w:t>(ROE) terhadap harga saham perusahaan manufaktur yang terdaftar di Bursa Efek Indonesia. Analisis yang digunakan dalam penelitian ini adalah regresi linier berganda. Hasil penelitian ini adalah ROA dan ROE berpengaruh signifikan dan positif terhadap harga</w:t>
      </w:r>
      <w:r>
        <w:rPr>
          <w:spacing w:val="-11"/>
        </w:rPr>
        <w:t> </w:t>
      </w:r>
      <w:r>
        <w:rPr/>
        <w:t>saham.</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9" w:firstLine="566"/>
        <w:jc w:val="both"/>
      </w:pPr>
      <w:r>
        <w:rPr/>
        <w:t>Faisol, (2018) Judul studi ini menganalisis </w:t>
      </w:r>
      <w:r>
        <w:rPr>
          <w:spacing w:val="-2"/>
        </w:rPr>
        <w:t>dampak </w:t>
      </w:r>
      <w:r>
        <w:rPr/>
        <w:t>pengembalian perusahaan makanan dan minuman di Bursa Efek Indonesia, rasio lancar, laba atas ekuitas, dan rasio utang-ekuitas terhadap harga saham. Analisis yang digunakan adalah analisis regresi linier berganda. Hasilnya menunjukkan bahwa beberapa pengembalian aset positif tidak memiliki dampak signifikan, dan pengembalian aset negatif tidak memiliki dampak signifikan. Pada saat </w:t>
      </w:r>
      <w:r>
        <w:rPr>
          <w:spacing w:val="-3"/>
        </w:rPr>
        <w:t>yang </w:t>
      </w:r>
      <w:r>
        <w:rPr/>
        <w:t>sama, tingkat pengembalian aset dan tingkat pengembalian modal memiliki dampak signifikan terhadap harga</w:t>
      </w:r>
      <w:r>
        <w:rPr>
          <w:spacing w:val="2"/>
        </w:rPr>
        <w:t> </w:t>
      </w:r>
      <w:r>
        <w:rPr/>
        <w:t>saham.</w:t>
      </w:r>
    </w:p>
    <w:p>
      <w:pPr>
        <w:pStyle w:val="BodyText"/>
        <w:spacing w:line="480" w:lineRule="auto" w:before="1"/>
        <w:ind w:left="586" w:right="793" w:firstLine="566"/>
        <w:jc w:val="both"/>
      </w:pPr>
      <w:r>
        <w:rPr/>
        <w:t>Claudia Russita Rochmat (2018) Dampak dari rasio keuangan 2013-2017 pada harga saham telah berdampak pada perusahaan industri di barang-barang konsumen dan industri lain-lain dari Bursa Eefek Indonesia. Analisis yang digunakan adalah regresi linier berganda. Beberapa hasil penelitian bahwa ROA dan ROE tidak memiliki dampak signifikan terhadap harga saham.</w:t>
      </w:r>
    </w:p>
    <w:p>
      <w:pPr>
        <w:pStyle w:val="BodyText"/>
        <w:spacing w:line="480" w:lineRule="auto" w:before="1"/>
        <w:ind w:left="586" w:right="800" w:firstLine="566"/>
        <w:jc w:val="both"/>
      </w:pPr>
      <w:r>
        <w:rPr/>
        <w:t>Gerald Edsel Yermia Egam, 2017, Pengembalian aset (ROA), laba atas ekuitas (ROE), margin laba bersih (NPM) dan laba per saham (EPS) mempengaruhi harga saham perusahaan, yang dikonsolidasikan di LQ45 Bursa Efek Indonesia selama 2013-2015 Indeks. Analisis data dilakukan dengan analisis regresi linier berganda. Hasil penelitian menunjukkan bahwa ROA (X1) dan ROE (X2) tidak berpengaruh terhadap harga saham (Y).</w:t>
      </w:r>
    </w:p>
    <w:p>
      <w:pPr>
        <w:pStyle w:val="Heading3"/>
        <w:numPr>
          <w:ilvl w:val="1"/>
          <w:numId w:val="8"/>
        </w:numPr>
        <w:tabs>
          <w:tab w:pos="1153" w:val="left" w:leader="none"/>
        </w:tabs>
        <w:spacing w:line="240" w:lineRule="auto" w:before="6" w:after="0"/>
        <w:ind w:left="1153" w:right="0" w:hanging="567"/>
        <w:jc w:val="both"/>
      </w:pPr>
      <w:bookmarkStart w:name="_TOC_250001" w:id="25"/>
      <w:r>
        <w:rPr/>
        <w:t>Kerangka</w:t>
      </w:r>
      <w:r>
        <w:rPr>
          <w:spacing w:val="1"/>
        </w:rPr>
        <w:t> </w:t>
      </w:r>
      <w:bookmarkEnd w:id="25"/>
      <w:r>
        <w:rPr/>
        <w:t>Pemikiran</w:t>
      </w:r>
    </w:p>
    <w:p>
      <w:pPr>
        <w:pStyle w:val="BodyText"/>
        <w:spacing w:before="7"/>
        <w:rPr>
          <w:b/>
          <w:sz w:val="23"/>
        </w:rPr>
      </w:pPr>
    </w:p>
    <w:p>
      <w:pPr>
        <w:pStyle w:val="BodyText"/>
        <w:spacing w:line="480" w:lineRule="auto"/>
        <w:ind w:left="586" w:right="807" w:firstLine="566"/>
        <w:jc w:val="both"/>
      </w:pPr>
      <w:r>
        <w:rPr/>
        <w:t>Harga saham mencerminkan indeks keberhasilan manajemen perusahaan. Jika harga saham perusahaan terus naik, investor atau calon investor percaya bahwa perusahaan telah berhasil mengelola bisnisnya.</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9" w:firstLine="566"/>
        <w:jc w:val="both"/>
      </w:pPr>
      <w:r>
        <w:rPr/>
        <w:t>Pengembalian aset (ROA) dan laba atas ekuitas (ROE) adalah Rasio memainkan peran penting bagi pemegang saham (investor) dalam memutuskan keputusan investasi, karena rasio ini mewakili tingkat pengembalian modal investasi. Berdasarkan uraian di atas, penulis dapat menggambarkan kerangka pemikiran berikut:</w:t>
      </w:r>
    </w:p>
    <w:p>
      <w:pPr>
        <w:pStyle w:val="BodyText"/>
        <w:rPr>
          <w:sz w:val="20"/>
        </w:rPr>
      </w:pPr>
    </w:p>
    <w:p>
      <w:pPr>
        <w:pStyle w:val="BodyText"/>
        <w:rPr>
          <w:sz w:val="25"/>
        </w:rPr>
      </w:pPr>
      <w:r>
        <w:rPr/>
        <w:drawing>
          <wp:anchor distT="0" distB="0" distL="0" distR="0" allowOverlap="1" layoutInCell="1" locked="0" behindDoc="0" simplePos="0" relativeHeight="6">
            <wp:simplePos x="0" y="0"/>
            <wp:positionH relativeFrom="page">
              <wp:posOffset>1440180</wp:posOffset>
            </wp:positionH>
            <wp:positionV relativeFrom="paragraph">
              <wp:posOffset>207450</wp:posOffset>
            </wp:positionV>
            <wp:extent cx="4867274" cy="2905125"/>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4867274" cy="2905125"/>
                    </a:xfrm>
                    <a:prstGeom prst="rect">
                      <a:avLst/>
                    </a:prstGeom>
                  </pic:spPr>
                </pic:pic>
              </a:graphicData>
            </a:graphic>
          </wp:anchor>
        </w:drawing>
      </w:r>
    </w:p>
    <w:p>
      <w:pPr>
        <w:pStyle w:val="BodyText"/>
        <w:spacing w:before="7"/>
        <w:rPr>
          <w:sz w:val="22"/>
        </w:rPr>
      </w:pPr>
    </w:p>
    <w:p>
      <w:pPr>
        <w:pStyle w:val="BodyText"/>
        <w:ind w:left="799" w:right="1014"/>
        <w:jc w:val="center"/>
      </w:pPr>
      <w:r>
        <w:rPr/>
        <w:t>Gambar 2.1. Kerangka Pemikiran</w:t>
      </w:r>
    </w:p>
    <w:p>
      <w:pPr>
        <w:pStyle w:val="BodyText"/>
        <w:rPr>
          <w:sz w:val="26"/>
        </w:rPr>
      </w:pPr>
    </w:p>
    <w:p>
      <w:pPr>
        <w:pStyle w:val="BodyText"/>
        <w:rPr>
          <w:sz w:val="26"/>
        </w:rPr>
      </w:pPr>
    </w:p>
    <w:p>
      <w:pPr>
        <w:pStyle w:val="BodyText"/>
        <w:spacing w:before="6"/>
        <w:rPr>
          <w:sz w:val="20"/>
        </w:rPr>
      </w:pPr>
    </w:p>
    <w:p>
      <w:pPr>
        <w:pStyle w:val="Heading3"/>
        <w:numPr>
          <w:ilvl w:val="1"/>
          <w:numId w:val="8"/>
        </w:numPr>
        <w:tabs>
          <w:tab w:pos="1153" w:val="left" w:leader="none"/>
        </w:tabs>
        <w:spacing w:line="240" w:lineRule="auto" w:before="0" w:after="0"/>
        <w:ind w:left="1153" w:right="0" w:hanging="567"/>
        <w:jc w:val="both"/>
      </w:pPr>
      <w:bookmarkStart w:name="_TOC_250000" w:id="26"/>
      <w:bookmarkEnd w:id="26"/>
      <w:r>
        <w:rPr/>
        <w:t>Hipotesis</w:t>
      </w:r>
    </w:p>
    <w:p>
      <w:pPr>
        <w:pStyle w:val="BodyText"/>
        <w:spacing w:before="6"/>
        <w:rPr>
          <w:b/>
          <w:sz w:val="23"/>
        </w:rPr>
      </w:pPr>
    </w:p>
    <w:p>
      <w:pPr>
        <w:pStyle w:val="BodyText"/>
        <w:spacing w:line="480" w:lineRule="auto"/>
        <w:ind w:left="586" w:right="801" w:firstLine="566"/>
        <w:jc w:val="both"/>
      </w:pPr>
      <w:r>
        <w:rPr/>
        <w:t>Berdasarkan Uraian latar belakang dan kajian pustaka </w:t>
      </w:r>
      <w:r>
        <w:rPr>
          <w:spacing w:val="-3"/>
        </w:rPr>
        <w:t>maka  </w:t>
      </w:r>
      <w:r>
        <w:rPr/>
        <w:t>peneliti menarik hipotesis sebagai berikut</w:t>
      </w:r>
      <w:r>
        <w:rPr>
          <w:spacing w:val="5"/>
        </w:rPr>
        <w:t> </w:t>
      </w:r>
      <w:r>
        <w:rPr/>
        <w:t>:</w:t>
      </w:r>
    </w:p>
    <w:p>
      <w:pPr>
        <w:pStyle w:val="ListParagraph"/>
        <w:numPr>
          <w:ilvl w:val="0"/>
          <w:numId w:val="15"/>
        </w:numPr>
        <w:tabs>
          <w:tab w:pos="1153" w:val="left" w:leader="none"/>
        </w:tabs>
        <w:spacing w:line="480" w:lineRule="auto" w:before="1" w:after="0"/>
        <w:ind w:left="1153" w:right="794" w:hanging="284"/>
        <w:jc w:val="both"/>
        <w:rPr>
          <w:sz w:val="24"/>
        </w:rPr>
      </w:pPr>
      <w:r>
        <w:rPr>
          <w:i/>
          <w:sz w:val="24"/>
        </w:rPr>
        <w:t>Return On Asset </w:t>
      </w:r>
      <w:r>
        <w:rPr>
          <w:sz w:val="24"/>
        </w:rPr>
        <w:t>(X1) dan </w:t>
      </w:r>
      <w:r>
        <w:rPr>
          <w:i/>
          <w:sz w:val="24"/>
        </w:rPr>
        <w:t>Return On Equity </w:t>
      </w:r>
      <w:r>
        <w:rPr>
          <w:sz w:val="24"/>
        </w:rPr>
        <w:t>(X2) secara simultan berpengaruh signifikan terhadap Harga saham (Y) pada perusahaan </w:t>
      </w:r>
      <w:r>
        <w:rPr>
          <w:spacing w:val="2"/>
          <w:sz w:val="24"/>
        </w:rPr>
        <w:t>sub </w:t>
      </w:r>
      <w:r>
        <w:rPr>
          <w:sz w:val="24"/>
        </w:rPr>
        <w:t>sektor Semen </w:t>
      </w:r>
      <w:r>
        <w:rPr>
          <w:spacing w:val="-3"/>
          <w:sz w:val="24"/>
        </w:rPr>
        <w:t>yang </w:t>
      </w:r>
      <w:r>
        <w:rPr>
          <w:sz w:val="24"/>
        </w:rPr>
        <w:t>terdaftar di Bursa Efek</w:t>
      </w:r>
      <w:r>
        <w:rPr>
          <w:spacing w:val="3"/>
          <w:sz w:val="24"/>
        </w:rPr>
        <w:t> </w:t>
      </w:r>
      <w:r>
        <w:rPr>
          <w:sz w:val="24"/>
        </w:rPr>
        <w:t>Indonesia.</w:t>
      </w:r>
    </w:p>
    <w:p>
      <w:pPr>
        <w:spacing w:after="0" w:line="480" w:lineRule="auto"/>
        <w:jc w:val="both"/>
        <w:rPr>
          <w:sz w:val="24"/>
        </w:rPr>
        <w:sectPr>
          <w:pgSz w:w="11910" w:h="16840"/>
          <w:pgMar w:header="0" w:footer="998" w:top="1580" w:bottom="1180" w:left="1680" w:right="900"/>
        </w:sectPr>
      </w:pPr>
    </w:p>
    <w:p>
      <w:pPr>
        <w:pStyle w:val="BodyText"/>
        <w:rPr>
          <w:sz w:val="20"/>
        </w:rPr>
      </w:pPr>
    </w:p>
    <w:p>
      <w:pPr>
        <w:pStyle w:val="BodyText"/>
        <w:rPr>
          <w:sz w:val="20"/>
        </w:rPr>
      </w:pPr>
    </w:p>
    <w:p>
      <w:pPr>
        <w:pStyle w:val="ListParagraph"/>
        <w:numPr>
          <w:ilvl w:val="0"/>
          <w:numId w:val="15"/>
        </w:numPr>
        <w:tabs>
          <w:tab w:pos="1153" w:val="left" w:leader="none"/>
        </w:tabs>
        <w:spacing w:line="480" w:lineRule="auto" w:before="205" w:after="0"/>
        <w:ind w:left="1153" w:right="792" w:hanging="284"/>
        <w:jc w:val="both"/>
        <w:rPr>
          <w:sz w:val="24"/>
        </w:rPr>
      </w:pPr>
      <w:r>
        <w:rPr>
          <w:i/>
          <w:sz w:val="24"/>
        </w:rPr>
        <w:t>Return On Asset </w:t>
      </w:r>
      <w:r>
        <w:rPr>
          <w:sz w:val="24"/>
        </w:rPr>
        <w:t>(X1) secara parsial berpengaruh signifikan terhadap Harga saham (Y) pada perusahaan sub sektor Semen yang terdaftar di Bursa Efek Indonesia.</w:t>
      </w:r>
    </w:p>
    <w:p>
      <w:pPr>
        <w:pStyle w:val="ListParagraph"/>
        <w:numPr>
          <w:ilvl w:val="0"/>
          <w:numId w:val="15"/>
        </w:numPr>
        <w:tabs>
          <w:tab w:pos="1153" w:val="left" w:leader="none"/>
        </w:tabs>
        <w:spacing w:line="480" w:lineRule="auto" w:before="0" w:after="0"/>
        <w:ind w:left="1153" w:right="799" w:hanging="284"/>
        <w:jc w:val="both"/>
        <w:rPr>
          <w:sz w:val="24"/>
        </w:rPr>
      </w:pPr>
      <w:r>
        <w:rPr>
          <w:i/>
          <w:sz w:val="24"/>
        </w:rPr>
        <w:t>Return On Equity </w:t>
      </w:r>
      <w:r>
        <w:rPr>
          <w:sz w:val="24"/>
        </w:rPr>
        <w:t>(X2) secara parsial berpengaruh signifikan terhadap  Harga saham (Y) pada perusahaan sub sektor Semen yang terdaftar di Bursa Efek</w:t>
      </w:r>
      <w:r>
        <w:rPr>
          <w:spacing w:val="1"/>
          <w:sz w:val="24"/>
        </w:rPr>
        <w:t> </w:t>
      </w:r>
      <w:r>
        <w:rPr>
          <w:sz w:val="24"/>
        </w:rPr>
        <w:t>Indonesia.</w:t>
      </w:r>
    </w:p>
    <w:p>
      <w:pPr>
        <w:spacing w:after="0" w:line="480" w:lineRule="auto"/>
        <w:jc w:val="both"/>
        <w:rPr>
          <w:sz w:val="24"/>
        </w:rPr>
        <w:sectPr>
          <w:pgSz w:w="11910" w:h="16840"/>
          <w:pgMar w:header="0" w:footer="998" w:top="1580" w:bottom="1180" w:left="1680" w:right="900"/>
        </w:sectPr>
      </w:pPr>
    </w:p>
    <w:p>
      <w:pPr>
        <w:pStyle w:val="BodyText"/>
        <w:rPr>
          <w:sz w:val="20"/>
        </w:rPr>
      </w:pPr>
    </w:p>
    <w:p>
      <w:pPr>
        <w:pStyle w:val="BodyText"/>
        <w:rPr>
          <w:sz w:val="20"/>
        </w:rPr>
      </w:pPr>
    </w:p>
    <w:p>
      <w:pPr>
        <w:pStyle w:val="Heading2"/>
        <w:spacing w:before="211"/>
      </w:pPr>
      <w:r>
        <w:rPr/>
        <w:t>BAB III</w:t>
      </w:r>
    </w:p>
    <w:p>
      <w:pPr>
        <w:spacing w:before="186"/>
        <w:ind w:left="1028" w:right="1237" w:firstLine="0"/>
        <w:jc w:val="center"/>
        <w:rPr>
          <w:b/>
          <w:sz w:val="28"/>
        </w:rPr>
      </w:pPr>
      <w:r>
        <w:rPr>
          <w:b/>
          <w:sz w:val="28"/>
        </w:rPr>
        <w:t>OBJEK DAN METODE PENELITIAN</w:t>
      </w:r>
    </w:p>
    <w:p>
      <w:pPr>
        <w:pStyle w:val="BodyText"/>
        <w:rPr>
          <w:b/>
          <w:sz w:val="30"/>
        </w:rPr>
      </w:pPr>
    </w:p>
    <w:p>
      <w:pPr>
        <w:pStyle w:val="BodyText"/>
        <w:spacing w:before="5"/>
        <w:rPr>
          <w:b/>
          <w:sz w:val="30"/>
        </w:rPr>
      </w:pPr>
    </w:p>
    <w:p>
      <w:pPr>
        <w:pStyle w:val="Heading3"/>
        <w:numPr>
          <w:ilvl w:val="1"/>
          <w:numId w:val="16"/>
        </w:numPr>
        <w:tabs>
          <w:tab w:pos="1014" w:val="left" w:leader="none"/>
        </w:tabs>
        <w:spacing w:line="240" w:lineRule="auto" w:before="0" w:after="0"/>
        <w:ind w:left="1013" w:right="0" w:hanging="428"/>
        <w:jc w:val="both"/>
      </w:pPr>
      <w:r>
        <w:rPr/>
        <w:t>Objek</w:t>
      </w:r>
      <w:r>
        <w:rPr>
          <w:spacing w:val="-3"/>
        </w:rPr>
        <w:t> </w:t>
      </w:r>
      <w:r>
        <w:rPr/>
        <w:t>Penelitian</w:t>
      </w:r>
    </w:p>
    <w:p>
      <w:pPr>
        <w:pStyle w:val="BodyText"/>
        <w:spacing w:before="7"/>
        <w:rPr>
          <w:b/>
          <w:sz w:val="23"/>
        </w:rPr>
      </w:pPr>
    </w:p>
    <w:p>
      <w:pPr>
        <w:pStyle w:val="BodyText"/>
        <w:spacing w:line="480" w:lineRule="auto"/>
        <w:ind w:left="586" w:right="802" w:firstLine="566"/>
        <w:jc w:val="both"/>
      </w:pPr>
      <w:r>
        <w:rPr/>
        <w:t>Seperti disebutkan dalam bab sebelumnya, tujuan dari penelitian ini adalah untuk mempengaruhi pengembalian aset (X1) dan laba atas ekuitas (X2) pada harga saham (Y) di sub-industri semen yang terdaftar di Bursa Efek Indonesia.</w:t>
      </w:r>
    </w:p>
    <w:p>
      <w:pPr>
        <w:pStyle w:val="Heading3"/>
        <w:numPr>
          <w:ilvl w:val="1"/>
          <w:numId w:val="16"/>
        </w:numPr>
        <w:tabs>
          <w:tab w:pos="1014" w:val="left" w:leader="none"/>
        </w:tabs>
        <w:spacing w:line="240" w:lineRule="auto" w:before="164" w:after="0"/>
        <w:ind w:left="1013" w:right="0" w:hanging="428"/>
        <w:jc w:val="both"/>
      </w:pPr>
      <w:r>
        <w:rPr/>
        <w:t>Metode Penelitian</w:t>
      </w:r>
    </w:p>
    <w:p>
      <w:pPr>
        <w:pStyle w:val="BodyText"/>
        <w:rPr>
          <w:b/>
        </w:rPr>
      </w:pPr>
    </w:p>
    <w:p>
      <w:pPr>
        <w:pStyle w:val="ListParagraph"/>
        <w:numPr>
          <w:ilvl w:val="2"/>
          <w:numId w:val="16"/>
        </w:numPr>
        <w:tabs>
          <w:tab w:pos="1153" w:val="left" w:leader="none"/>
        </w:tabs>
        <w:spacing w:line="240" w:lineRule="auto" w:before="0" w:after="0"/>
        <w:ind w:left="1153" w:right="0" w:hanging="567"/>
        <w:jc w:val="both"/>
        <w:rPr>
          <w:b/>
          <w:sz w:val="24"/>
        </w:rPr>
      </w:pPr>
      <w:r>
        <w:rPr>
          <w:b/>
          <w:sz w:val="24"/>
        </w:rPr>
        <w:t>Metode Yang</w:t>
      </w:r>
      <w:r>
        <w:rPr>
          <w:b/>
          <w:spacing w:val="4"/>
          <w:sz w:val="24"/>
        </w:rPr>
        <w:t> </w:t>
      </w:r>
      <w:r>
        <w:rPr>
          <w:b/>
          <w:sz w:val="24"/>
        </w:rPr>
        <w:t>Digunakan</w:t>
      </w:r>
    </w:p>
    <w:p>
      <w:pPr>
        <w:pStyle w:val="BodyText"/>
        <w:spacing w:before="7"/>
        <w:rPr>
          <w:b/>
          <w:sz w:val="23"/>
        </w:rPr>
      </w:pPr>
    </w:p>
    <w:p>
      <w:pPr>
        <w:pStyle w:val="BodyText"/>
        <w:spacing w:line="480" w:lineRule="auto"/>
        <w:ind w:left="586" w:right="801" w:firstLine="566"/>
        <w:jc w:val="both"/>
      </w:pPr>
      <w:r>
        <w:rPr/>
        <w:t>Penelitian ini didasarkan pada </w:t>
      </w:r>
      <w:r>
        <w:rPr>
          <w:spacing w:val="-3"/>
        </w:rPr>
        <w:t>jenis </w:t>
      </w:r>
      <w:r>
        <w:rPr/>
        <w:t>penelitian deskriptif, dan metode kuantitatifnya dirancang untuk menentukan dampak atau hubungan antara dua atau </w:t>
      </w:r>
      <w:r>
        <w:rPr>
          <w:spacing w:val="-3"/>
        </w:rPr>
        <w:t>lebih </w:t>
      </w:r>
      <w:r>
        <w:rPr/>
        <w:t>variabel. Penelitian deskriptif menurut Sugiyono (2015) adalah penelitian yang menggunakan data kuantitatif dan kualitatif untuk menggambarkan fenomena, peristiwa, dan</w:t>
      </w:r>
      <w:r>
        <w:rPr>
          <w:spacing w:val="5"/>
        </w:rPr>
        <w:t> </w:t>
      </w:r>
      <w:r>
        <w:rPr/>
        <w:t>gejala.</w:t>
      </w:r>
    </w:p>
    <w:p>
      <w:pPr>
        <w:pStyle w:val="Heading3"/>
        <w:numPr>
          <w:ilvl w:val="2"/>
          <w:numId w:val="16"/>
        </w:numPr>
        <w:tabs>
          <w:tab w:pos="1153" w:val="left" w:leader="none"/>
        </w:tabs>
        <w:spacing w:line="240" w:lineRule="auto" w:before="164" w:after="0"/>
        <w:ind w:left="1153" w:right="0" w:hanging="567"/>
        <w:jc w:val="both"/>
      </w:pPr>
      <w:r>
        <w:rPr/>
        <w:t>Operasionalisasi</w:t>
      </w:r>
      <w:r>
        <w:rPr>
          <w:spacing w:val="1"/>
        </w:rPr>
        <w:t> </w:t>
      </w:r>
      <w:r>
        <w:rPr/>
        <w:t>Variabel</w:t>
      </w:r>
    </w:p>
    <w:p>
      <w:pPr>
        <w:pStyle w:val="BodyText"/>
        <w:spacing w:before="7"/>
        <w:rPr>
          <w:b/>
          <w:sz w:val="23"/>
        </w:rPr>
      </w:pPr>
    </w:p>
    <w:p>
      <w:pPr>
        <w:pStyle w:val="BodyText"/>
        <w:spacing w:line="480" w:lineRule="auto"/>
        <w:ind w:left="586" w:right="794" w:firstLine="566"/>
        <w:jc w:val="both"/>
      </w:pPr>
      <w:r>
        <w:rPr/>
        <w:t>Untuk menentukan data apa yang diperlukan, maka terlebih dahulu perlu penjelasan definisi operasional variabel yang digunakan dalam penelitian ini adalah sebagai berikut:</w:t>
      </w:r>
    </w:p>
    <w:p>
      <w:pPr>
        <w:pStyle w:val="BodyText"/>
        <w:spacing w:line="480" w:lineRule="auto" w:before="1"/>
        <w:ind w:left="586" w:right="800" w:firstLine="566"/>
        <w:jc w:val="both"/>
      </w:pPr>
      <w:r>
        <w:rPr/>
        <w:t>Sutrisno (2017 : 213) </w:t>
      </w:r>
      <w:r>
        <w:rPr>
          <w:i/>
        </w:rPr>
        <w:t>return on assets </w:t>
      </w:r>
      <w:r>
        <w:rPr/>
        <w:t>juga disebut sebagai rentabilitas ekonomis merupakan ukuran kemampuan perusahaan dalam menghasilkan laba dengan semua aktiva yang dimiliki oleh perusahaan dalam hal ini laba yang dihasilkan adalah laba sebelum bunga dan pajak.</w:t>
      </w:r>
    </w:p>
    <w:p>
      <w:pPr>
        <w:spacing w:after="0" w:line="480" w:lineRule="auto"/>
        <w:jc w:val="both"/>
        <w:sectPr>
          <w:footerReference w:type="default" r:id="rId17"/>
          <w:pgSz w:w="11910" w:h="16840"/>
          <w:pgMar w:footer="0" w:header="0" w:top="1580" w:bottom="280" w:left="1680" w:right="900"/>
        </w:sectPr>
      </w:pPr>
    </w:p>
    <w:p>
      <w:pPr>
        <w:pStyle w:val="BodyText"/>
        <w:rPr>
          <w:sz w:val="20"/>
        </w:rPr>
      </w:pPr>
    </w:p>
    <w:p>
      <w:pPr>
        <w:pStyle w:val="BodyText"/>
        <w:rPr>
          <w:sz w:val="20"/>
        </w:rPr>
      </w:pPr>
    </w:p>
    <w:p>
      <w:pPr>
        <w:pStyle w:val="BodyText"/>
        <w:spacing w:line="480" w:lineRule="auto" w:before="205"/>
        <w:ind w:left="586" w:right="794" w:firstLine="566"/>
        <w:jc w:val="both"/>
      </w:pPr>
      <w:r>
        <w:rPr/>
        <w:t>Sutrisno (2017 : 213) </w:t>
      </w:r>
      <w:r>
        <w:rPr>
          <w:i/>
        </w:rPr>
        <w:t>Return on equity </w:t>
      </w:r>
      <w:r>
        <w:rPr/>
        <w:t>adalah kemampuan  perusahaan untuk menghasilkan </w:t>
      </w:r>
      <w:r>
        <w:rPr>
          <w:spacing w:val="-3"/>
        </w:rPr>
        <w:t>laba </w:t>
      </w:r>
      <w:r>
        <w:rPr/>
        <w:t>dari modal sendiri, sehingga laba atas ekuitas disebut profitabilitas dari modal sendiri. Laba yang dihitung adalah laba bersih setelah dikurangi</w:t>
      </w:r>
      <w:r>
        <w:rPr>
          <w:spacing w:val="-8"/>
        </w:rPr>
        <w:t> </w:t>
      </w:r>
      <w:r>
        <w:rPr/>
        <w:t>pajak.</w:t>
      </w:r>
    </w:p>
    <w:p>
      <w:pPr>
        <w:pStyle w:val="BodyText"/>
        <w:spacing w:line="480" w:lineRule="auto"/>
        <w:ind w:left="586" w:right="793" w:firstLine="566"/>
        <w:jc w:val="both"/>
      </w:pPr>
      <w:r>
        <w:rPr/>
        <w:t>Menurut Brigham &amp; Houston (2010 : 7) Harga saham adalah maksimalisasi kekayaan pemegang saham. Maksimalisasi pemegang saham diterjemahkan menjadi maksimalisasi harga saham perusahaan. Harga saham pada waktu tertentu akan tergantung pada arus kas yang diharapkan yang akan diterima oleh investor biasa di masa depan (jika investor).</w:t>
      </w:r>
    </w:p>
    <w:p>
      <w:pPr>
        <w:pStyle w:val="Heading3"/>
        <w:spacing w:before="1"/>
        <w:ind w:left="2406" w:firstLine="0"/>
      </w:pPr>
      <w:r>
        <w:rPr/>
        <w:t>Tabel 3.1 Operasional Variabel Penelitian</w:t>
      </w:r>
    </w:p>
    <w:p>
      <w:pPr>
        <w:pStyle w:val="BodyText"/>
        <w:spacing w:before="4" w:after="1"/>
        <w:rPr>
          <w:b/>
          <w:sz w:val="16"/>
        </w:rPr>
      </w:pPr>
    </w:p>
    <w:tbl>
      <w:tblPr>
        <w:tblW w:w="0" w:type="auto"/>
        <w:jc w:val="left"/>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4"/>
        <w:gridCol w:w="4230"/>
        <w:gridCol w:w="1565"/>
      </w:tblGrid>
      <w:tr>
        <w:trPr>
          <w:trHeight w:val="638" w:hRule="atLeast"/>
        </w:trPr>
        <w:tc>
          <w:tcPr>
            <w:tcW w:w="2094" w:type="dxa"/>
          </w:tcPr>
          <w:p>
            <w:pPr>
              <w:pStyle w:val="TableParagraph"/>
              <w:spacing w:line="273" w:lineRule="exact"/>
              <w:ind w:left="600"/>
              <w:jc w:val="left"/>
              <w:rPr>
                <w:b/>
                <w:sz w:val="24"/>
              </w:rPr>
            </w:pPr>
            <w:r>
              <w:rPr>
                <w:b/>
                <w:sz w:val="24"/>
              </w:rPr>
              <w:t>Variabel</w:t>
            </w:r>
          </w:p>
        </w:tc>
        <w:tc>
          <w:tcPr>
            <w:tcW w:w="4230" w:type="dxa"/>
          </w:tcPr>
          <w:p>
            <w:pPr>
              <w:pStyle w:val="TableParagraph"/>
              <w:spacing w:line="273" w:lineRule="exact"/>
              <w:ind w:right="1739"/>
              <w:rPr>
                <w:b/>
                <w:sz w:val="24"/>
              </w:rPr>
            </w:pPr>
            <w:r>
              <w:rPr>
                <w:b/>
                <w:sz w:val="24"/>
              </w:rPr>
              <w:t>Rumus</w:t>
            </w:r>
          </w:p>
        </w:tc>
        <w:tc>
          <w:tcPr>
            <w:tcW w:w="1565" w:type="dxa"/>
          </w:tcPr>
          <w:p>
            <w:pPr>
              <w:pStyle w:val="TableParagraph"/>
              <w:spacing w:line="273" w:lineRule="exact"/>
              <w:ind w:left="499"/>
              <w:jc w:val="left"/>
              <w:rPr>
                <w:b/>
                <w:sz w:val="24"/>
              </w:rPr>
            </w:pPr>
            <w:r>
              <w:rPr>
                <w:b/>
                <w:sz w:val="24"/>
              </w:rPr>
              <w:t>Skala</w:t>
            </w:r>
          </w:p>
        </w:tc>
      </w:tr>
      <w:tr>
        <w:trPr>
          <w:trHeight w:val="825" w:hRule="atLeast"/>
        </w:trPr>
        <w:tc>
          <w:tcPr>
            <w:tcW w:w="2094" w:type="dxa"/>
          </w:tcPr>
          <w:p>
            <w:pPr>
              <w:pStyle w:val="TableParagraph"/>
              <w:spacing w:line="240" w:lineRule="auto" w:before="7"/>
              <w:jc w:val="left"/>
              <w:rPr>
                <w:b/>
                <w:sz w:val="22"/>
              </w:rPr>
            </w:pPr>
          </w:p>
          <w:p>
            <w:pPr>
              <w:pStyle w:val="TableParagraph"/>
              <w:spacing w:line="240" w:lineRule="auto"/>
              <w:ind w:left="110"/>
              <w:jc w:val="left"/>
              <w:rPr>
                <w:b/>
                <w:sz w:val="24"/>
              </w:rPr>
            </w:pPr>
            <w:r>
              <w:rPr>
                <w:b/>
                <w:sz w:val="24"/>
              </w:rPr>
              <w:t>ROA (X1)</w:t>
            </w:r>
          </w:p>
        </w:tc>
        <w:tc>
          <w:tcPr>
            <w:tcW w:w="4230" w:type="dxa"/>
          </w:tcPr>
          <w:p>
            <w:pPr>
              <w:pStyle w:val="TableParagraph"/>
              <w:spacing w:line="242" w:lineRule="auto"/>
              <w:ind w:left="979" w:right="1156" w:hanging="241"/>
              <w:jc w:val="left"/>
              <w:rPr>
                <w:sz w:val="24"/>
              </w:rPr>
            </w:pPr>
            <w:r>
              <w:rPr>
                <w:sz w:val="24"/>
                <w:u w:val="single"/>
              </w:rPr>
              <w:t>Laba Setelah Pajak</w:t>
            </w:r>
            <w:r>
              <w:rPr>
                <w:sz w:val="24"/>
              </w:rPr>
              <w:t> Total Aktiva</w:t>
            </w:r>
          </w:p>
        </w:tc>
        <w:tc>
          <w:tcPr>
            <w:tcW w:w="1565" w:type="dxa"/>
          </w:tcPr>
          <w:p>
            <w:pPr>
              <w:pStyle w:val="TableParagraph"/>
              <w:spacing w:line="240" w:lineRule="auto" w:before="2"/>
              <w:jc w:val="left"/>
              <w:rPr>
                <w:b/>
                <w:sz w:val="22"/>
              </w:rPr>
            </w:pPr>
          </w:p>
          <w:p>
            <w:pPr>
              <w:pStyle w:val="TableParagraph"/>
              <w:spacing w:line="240" w:lineRule="auto"/>
              <w:ind w:left="110"/>
              <w:jc w:val="left"/>
              <w:rPr>
                <w:sz w:val="24"/>
              </w:rPr>
            </w:pPr>
            <w:r>
              <w:rPr>
                <w:sz w:val="24"/>
              </w:rPr>
              <w:t>Rasio</w:t>
            </w:r>
          </w:p>
        </w:tc>
      </w:tr>
      <w:tr>
        <w:trPr>
          <w:trHeight w:val="854" w:hRule="atLeast"/>
        </w:trPr>
        <w:tc>
          <w:tcPr>
            <w:tcW w:w="2094" w:type="dxa"/>
          </w:tcPr>
          <w:p>
            <w:pPr>
              <w:pStyle w:val="TableParagraph"/>
              <w:spacing w:line="240" w:lineRule="auto" w:before="10"/>
              <w:jc w:val="left"/>
              <w:rPr>
                <w:b/>
                <w:sz w:val="23"/>
              </w:rPr>
            </w:pPr>
          </w:p>
          <w:p>
            <w:pPr>
              <w:pStyle w:val="TableParagraph"/>
              <w:spacing w:line="240" w:lineRule="auto" w:before="1"/>
              <w:ind w:left="110"/>
              <w:jc w:val="left"/>
              <w:rPr>
                <w:b/>
                <w:sz w:val="24"/>
              </w:rPr>
            </w:pPr>
            <w:r>
              <w:rPr>
                <w:b/>
                <w:sz w:val="24"/>
              </w:rPr>
              <w:t>ROE (X2)</w:t>
            </w:r>
          </w:p>
        </w:tc>
        <w:tc>
          <w:tcPr>
            <w:tcW w:w="4230" w:type="dxa"/>
          </w:tcPr>
          <w:p>
            <w:pPr>
              <w:pStyle w:val="TableParagraph"/>
              <w:spacing w:line="242" w:lineRule="auto" w:before="141"/>
              <w:ind w:left="979" w:right="1156" w:hanging="207"/>
              <w:jc w:val="left"/>
              <w:rPr>
                <w:sz w:val="24"/>
              </w:rPr>
            </w:pPr>
            <w:r>
              <w:rPr>
                <w:sz w:val="24"/>
                <w:u w:val="single"/>
              </w:rPr>
              <w:t>Laba Setelah Pajak</w:t>
            </w:r>
            <w:r>
              <w:rPr>
                <w:sz w:val="24"/>
              </w:rPr>
              <w:t> Modal Sendiri</w:t>
            </w:r>
          </w:p>
        </w:tc>
        <w:tc>
          <w:tcPr>
            <w:tcW w:w="1565" w:type="dxa"/>
          </w:tcPr>
          <w:p>
            <w:pPr>
              <w:pStyle w:val="TableParagraph"/>
              <w:spacing w:line="240" w:lineRule="auto" w:before="6"/>
              <w:jc w:val="left"/>
              <w:rPr>
                <w:b/>
                <w:sz w:val="23"/>
              </w:rPr>
            </w:pPr>
          </w:p>
          <w:p>
            <w:pPr>
              <w:pStyle w:val="TableParagraph"/>
              <w:spacing w:line="240" w:lineRule="auto"/>
              <w:ind w:left="110"/>
              <w:jc w:val="left"/>
              <w:rPr>
                <w:sz w:val="24"/>
              </w:rPr>
            </w:pPr>
            <w:r>
              <w:rPr>
                <w:sz w:val="24"/>
              </w:rPr>
              <w:t>Rasio</w:t>
            </w:r>
          </w:p>
        </w:tc>
      </w:tr>
      <w:tr>
        <w:trPr>
          <w:trHeight w:val="412" w:hRule="atLeast"/>
        </w:trPr>
        <w:tc>
          <w:tcPr>
            <w:tcW w:w="2094" w:type="dxa"/>
          </w:tcPr>
          <w:p>
            <w:pPr>
              <w:pStyle w:val="TableParagraph"/>
              <w:spacing w:line="240" w:lineRule="auto" w:before="54"/>
              <w:ind w:left="110"/>
              <w:jc w:val="left"/>
              <w:rPr>
                <w:b/>
                <w:sz w:val="24"/>
              </w:rPr>
            </w:pPr>
            <w:r>
              <w:rPr>
                <w:b/>
                <w:sz w:val="24"/>
              </w:rPr>
              <w:t>Harga Saham (Y)</w:t>
            </w:r>
          </w:p>
        </w:tc>
        <w:tc>
          <w:tcPr>
            <w:tcW w:w="4230" w:type="dxa"/>
          </w:tcPr>
          <w:p>
            <w:pPr>
              <w:pStyle w:val="TableParagraph"/>
              <w:spacing w:line="268" w:lineRule="exact"/>
              <w:ind w:right="1727"/>
              <w:rPr>
                <w:sz w:val="24"/>
              </w:rPr>
            </w:pPr>
            <w:r>
              <w:rPr>
                <w:sz w:val="24"/>
              </w:rPr>
              <w:t>Harga Penutupan</w:t>
            </w:r>
          </w:p>
        </w:tc>
        <w:tc>
          <w:tcPr>
            <w:tcW w:w="1565" w:type="dxa"/>
          </w:tcPr>
          <w:p>
            <w:pPr>
              <w:pStyle w:val="TableParagraph"/>
              <w:spacing w:line="240" w:lineRule="auto" w:before="49"/>
              <w:ind w:left="110"/>
              <w:jc w:val="left"/>
              <w:rPr>
                <w:sz w:val="24"/>
              </w:rPr>
            </w:pPr>
            <w:r>
              <w:rPr>
                <w:sz w:val="24"/>
              </w:rPr>
              <w:t>Nominal</w:t>
            </w:r>
          </w:p>
        </w:tc>
      </w:tr>
    </w:tbl>
    <w:p>
      <w:pPr>
        <w:pStyle w:val="BodyText"/>
        <w:ind w:left="1306"/>
      </w:pPr>
      <w:r>
        <w:rPr/>
        <w:t>Sumber: Fahmi (2013:290), Brigham &amp; Houston (2010:7)</w:t>
      </w:r>
    </w:p>
    <w:p>
      <w:pPr>
        <w:pStyle w:val="BodyText"/>
        <w:spacing w:before="7"/>
        <w:rPr>
          <w:sz w:val="23"/>
        </w:rPr>
      </w:pPr>
    </w:p>
    <w:p>
      <w:pPr>
        <w:pStyle w:val="Heading3"/>
        <w:numPr>
          <w:ilvl w:val="2"/>
          <w:numId w:val="16"/>
        </w:numPr>
        <w:tabs>
          <w:tab w:pos="1153" w:val="left" w:leader="none"/>
        </w:tabs>
        <w:spacing w:line="240" w:lineRule="auto" w:before="0" w:after="0"/>
        <w:ind w:left="1153" w:right="0" w:hanging="567"/>
        <w:jc w:val="both"/>
      </w:pPr>
      <w:r>
        <w:rPr/>
        <w:t>Populasi dan Sampel Penelitian</w:t>
      </w:r>
    </w:p>
    <w:p>
      <w:pPr>
        <w:pStyle w:val="BodyText"/>
        <w:rPr>
          <w:b/>
        </w:rPr>
      </w:pPr>
    </w:p>
    <w:p>
      <w:pPr>
        <w:pStyle w:val="ListParagraph"/>
        <w:numPr>
          <w:ilvl w:val="3"/>
          <w:numId w:val="16"/>
        </w:numPr>
        <w:tabs>
          <w:tab w:pos="1307" w:val="left" w:leader="none"/>
        </w:tabs>
        <w:spacing w:line="240" w:lineRule="auto" w:before="0" w:after="0"/>
        <w:ind w:left="1306" w:right="0" w:hanging="721"/>
        <w:jc w:val="both"/>
        <w:rPr>
          <w:b/>
          <w:sz w:val="24"/>
        </w:rPr>
      </w:pPr>
      <w:r>
        <w:rPr>
          <w:b/>
          <w:sz w:val="24"/>
        </w:rPr>
        <w:t>Populasi</w:t>
      </w:r>
    </w:p>
    <w:p>
      <w:pPr>
        <w:pStyle w:val="BodyText"/>
        <w:spacing w:before="7"/>
        <w:rPr>
          <w:b/>
          <w:sz w:val="23"/>
        </w:rPr>
      </w:pPr>
    </w:p>
    <w:p>
      <w:pPr>
        <w:pStyle w:val="BodyText"/>
        <w:spacing w:line="480" w:lineRule="auto"/>
        <w:ind w:left="586" w:right="795" w:firstLine="566"/>
        <w:jc w:val="both"/>
      </w:pPr>
      <w:r>
        <w:rPr/>
        <w:t>Sugiyono (2015 : 61) Populasi adalah bidang </w:t>
      </w:r>
      <w:r>
        <w:rPr>
          <w:spacing w:val="-3"/>
        </w:rPr>
        <w:t>yang </w:t>
      </w:r>
      <w:r>
        <w:rPr/>
        <w:t>digeneralisasi, terdiri  dari objek dan topik dengan kualitas dan karakteristik khusus. Obyek dan topik </w:t>
      </w:r>
      <w:r>
        <w:rPr>
          <w:spacing w:val="3"/>
        </w:rPr>
        <w:t>ini </w:t>
      </w:r>
      <w:r>
        <w:rPr/>
        <w:t>ditentukan oleh para peneliti untuk dipelajari, dan kemudian ditarik kesimpulan. Populasi</w:t>
      </w:r>
      <w:r>
        <w:rPr>
          <w:spacing w:val="20"/>
        </w:rPr>
        <w:t> </w:t>
      </w:r>
      <w:r>
        <w:rPr/>
        <w:t>penelitian</w:t>
      </w:r>
      <w:r>
        <w:rPr>
          <w:spacing w:val="25"/>
        </w:rPr>
        <w:t> </w:t>
      </w:r>
      <w:r>
        <w:rPr/>
        <w:t>ini</w:t>
      </w:r>
      <w:r>
        <w:rPr>
          <w:spacing w:val="21"/>
        </w:rPr>
        <w:t> </w:t>
      </w:r>
      <w:r>
        <w:rPr/>
        <w:t>adalah</w:t>
      </w:r>
      <w:r>
        <w:rPr>
          <w:spacing w:val="20"/>
        </w:rPr>
        <w:t> </w:t>
      </w:r>
      <w:r>
        <w:rPr/>
        <w:t>6</w:t>
      </w:r>
      <w:r>
        <w:rPr>
          <w:spacing w:val="26"/>
        </w:rPr>
        <w:t> </w:t>
      </w:r>
      <w:r>
        <w:rPr/>
        <w:t>perusahaan</w:t>
      </w:r>
      <w:r>
        <w:rPr>
          <w:spacing w:val="25"/>
        </w:rPr>
        <w:t> </w:t>
      </w:r>
      <w:r>
        <w:rPr/>
        <w:t>sub</w:t>
      </w:r>
      <w:r>
        <w:rPr>
          <w:spacing w:val="26"/>
        </w:rPr>
        <w:t> </w:t>
      </w:r>
      <w:r>
        <w:rPr/>
        <w:t>industri</w:t>
      </w:r>
      <w:r>
        <w:rPr>
          <w:spacing w:val="16"/>
        </w:rPr>
        <w:t> </w:t>
      </w:r>
      <w:r>
        <w:rPr/>
        <w:t>semen</w:t>
      </w:r>
      <w:r>
        <w:rPr>
          <w:spacing w:val="26"/>
        </w:rPr>
        <w:t> </w:t>
      </w:r>
      <w:r>
        <w:rPr/>
        <w:t>yang</w:t>
      </w:r>
      <w:r>
        <w:rPr>
          <w:spacing w:val="25"/>
        </w:rPr>
        <w:t> </w:t>
      </w:r>
      <w:r>
        <w:rPr/>
        <w:t>terdaftar</w:t>
      </w:r>
      <w:r>
        <w:rPr>
          <w:spacing w:val="27"/>
        </w:rPr>
        <w:t> </w:t>
      </w:r>
      <w:r>
        <w:rPr/>
        <w:t>di</w:t>
      </w:r>
    </w:p>
    <w:p>
      <w:pPr>
        <w:spacing w:after="0" w:line="480" w:lineRule="auto"/>
        <w:jc w:val="both"/>
        <w:sectPr>
          <w:footerReference w:type="default" r:id="rId18"/>
          <w:pgSz w:w="11910" w:h="16840"/>
          <w:pgMar w:footer="998" w:header="0" w:top="1580" w:bottom="1180" w:left="1680" w:right="900"/>
          <w:pgNumType w:start="27"/>
        </w:sectPr>
      </w:pPr>
    </w:p>
    <w:p>
      <w:pPr>
        <w:pStyle w:val="BodyText"/>
        <w:rPr>
          <w:sz w:val="20"/>
        </w:rPr>
      </w:pPr>
    </w:p>
    <w:p>
      <w:pPr>
        <w:pStyle w:val="BodyText"/>
        <w:rPr>
          <w:sz w:val="20"/>
        </w:rPr>
      </w:pPr>
    </w:p>
    <w:p>
      <w:pPr>
        <w:pStyle w:val="BodyText"/>
        <w:spacing w:line="480" w:lineRule="auto" w:before="205"/>
        <w:ind w:left="586" w:right="793"/>
      </w:pPr>
      <w:r>
        <w:rPr/>
        <w:t>Bursa Efek Indonesia. Berikut ini adalah daftar perusahaan sub-industri perbankan syariah yang terdaftar di Bursa Efek Indonesia:</w:t>
      </w:r>
    </w:p>
    <w:p>
      <w:pPr>
        <w:pStyle w:val="BodyText"/>
        <w:spacing w:line="360" w:lineRule="auto" w:before="158" w:after="7"/>
        <w:ind w:left="4058" w:right="546" w:hanging="3266"/>
      </w:pPr>
      <w:r>
        <w:rPr/>
        <w:t>Tabel 3.2 Daftar Perusahaan Sub Sektor Semen yang Terdaftar di Bursa Efek Indonesia.</w:t>
      </w: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7083"/>
      </w:tblGrid>
      <w:tr>
        <w:trPr>
          <w:trHeight w:val="301" w:hRule="atLeast"/>
        </w:trPr>
        <w:tc>
          <w:tcPr>
            <w:tcW w:w="514" w:type="dxa"/>
          </w:tcPr>
          <w:p>
            <w:pPr>
              <w:pStyle w:val="TableParagraph"/>
              <w:spacing w:before="15"/>
              <w:ind w:left="89" w:right="81"/>
              <w:jc w:val="center"/>
              <w:rPr>
                <w:sz w:val="24"/>
              </w:rPr>
            </w:pPr>
            <w:r>
              <w:rPr>
                <w:sz w:val="24"/>
              </w:rPr>
              <w:t>No</w:t>
            </w:r>
          </w:p>
        </w:tc>
        <w:tc>
          <w:tcPr>
            <w:tcW w:w="7083" w:type="dxa"/>
          </w:tcPr>
          <w:p>
            <w:pPr>
              <w:pStyle w:val="TableParagraph"/>
              <w:spacing w:before="15"/>
              <w:ind w:left="2654" w:right="2653"/>
              <w:jc w:val="center"/>
              <w:rPr>
                <w:sz w:val="24"/>
              </w:rPr>
            </w:pPr>
            <w:r>
              <w:rPr>
                <w:sz w:val="24"/>
              </w:rPr>
              <w:t>Nama Perusahaan</w:t>
            </w:r>
          </w:p>
        </w:tc>
      </w:tr>
      <w:tr>
        <w:trPr>
          <w:trHeight w:val="297" w:hRule="atLeast"/>
        </w:trPr>
        <w:tc>
          <w:tcPr>
            <w:tcW w:w="514" w:type="dxa"/>
          </w:tcPr>
          <w:p>
            <w:pPr>
              <w:pStyle w:val="TableParagraph"/>
              <w:spacing w:line="261" w:lineRule="exact" w:before="15"/>
              <w:ind w:left="9"/>
              <w:jc w:val="center"/>
              <w:rPr>
                <w:sz w:val="24"/>
              </w:rPr>
            </w:pPr>
            <w:r>
              <w:rPr>
                <w:sz w:val="24"/>
              </w:rPr>
              <w:t>1</w:t>
            </w:r>
          </w:p>
        </w:tc>
        <w:tc>
          <w:tcPr>
            <w:tcW w:w="7083" w:type="dxa"/>
          </w:tcPr>
          <w:p>
            <w:pPr>
              <w:pStyle w:val="TableParagraph"/>
              <w:spacing w:line="261" w:lineRule="exact" w:before="15"/>
              <w:ind w:left="105"/>
              <w:jc w:val="left"/>
              <w:rPr>
                <w:sz w:val="24"/>
              </w:rPr>
            </w:pPr>
            <w:r>
              <w:rPr>
                <w:sz w:val="24"/>
              </w:rPr>
              <w:t>PT. Indocement Tunggal Prakarsa Tbk</w:t>
            </w:r>
          </w:p>
        </w:tc>
      </w:tr>
      <w:tr>
        <w:trPr>
          <w:trHeight w:val="302" w:hRule="atLeast"/>
        </w:trPr>
        <w:tc>
          <w:tcPr>
            <w:tcW w:w="514" w:type="dxa"/>
          </w:tcPr>
          <w:p>
            <w:pPr>
              <w:pStyle w:val="TableParagraph"/>
              <w:spacing w:line="261" w:lineRule="exact" w:before="20"/>
              <w:ind w:left="9"/>
              <w:jc w:val="center"/>
              <w:rPr>
                <w:sz w:val="24"/>
              </w:rPr>
            </w:pPr>
            <w:r>
              <w:rPr>
                <w:sz w:val="24"/>
              </w:rPr>
              <w:t>2</w:t>
            </w:r>
          </w:p>
        </w:tc>
        <w:tc>
          <w:tcPr>
            <w:tcW w:w="7083" w:type="dxa"/>
          </w:tcPr>
          <w:p>
            <w:pPr>
              <w:pStyle w:val="TableParagraph"/>
              <w:spacing w:line="261" w:lineRule="exact" w:before="20"/>
              <w:ind w:left="105"/>
              <w:jc w:val="left"/>
              <w:rPr>
                <w:sz w:val="24"/>
              </w:rPr>
            </w:pPr>
            <w:r>
              <w:rPr>
                <w:sz w:val="24"/>
              </w:rPr>
              <w:t>PT. Waskita Beton Precest Tbk</w:t>
            </w:r>
          </w:p>
        </w:tc>
      </w:tr>
      <w:tr>
        <w:trPr>
          <w:trHeight w:val="302" w:hRule="atLeast"/>
        </w:trPr>
        <w:tc>
          <w:tcPr>
            <w:tcW w:w="514" w:type="dxa"/>
          </w:tcPr>
          <w:p>
            <w:pPr>
              <w:pStyle w:val="TableParagraph"/>
              <w:spacing w:before="15"/>
              <w:ind w:left="9"/>
              <w:jc w:val="center"/>
              <w:rPr>
                <w:sz w:val="24"/>
              </w:rPr>
            </w:pPr>
            <w:r>
              <w:rPr>
                <w:sz w:val="24"/>
              </w:rPr>
              <w:t>3</w:t>
            </w:r>
          </w:p>
        </w:tc>
        <w:tc>
          <w:tcPr>
            <w:tcW w:w="7083" w:type="dxa"/>
          </w:tcPr>
          <w:p>
            <w:pPr>
              <w:pStyle w:val="TableParagraph"/>
              <w:spacing w:before="15"/>
              <w:ind w:left="105"/>
              <w:jc w:val="left"/>
              <w:rPr>
                <w:sz w:val="24"/>
              </w:rPr>
            </w:pPr>
            <w:r>
              <w:rPr>
                <w:sz w:val="24"/>
              </w:rPr>
              <w:t>PT. Semen Indonesia Tbk</w:t>
            </w:r>
          </w:p>
        </w:tc>
      </w:tr>
      <w:tr>
        <w:trPr>
          <w:trHeight w:val="297" w:hRule="atLeast"/>
        </w:trPr>
        <w:tc>
          <w:tcPr>
            <w:tcW w:w="514" w:type="dxa"/>
          </w:tcPr>
          <w:p>
            <w:pPr>
              <w:pStyle w:val="TableParagraph"/>
              <w:spacing w:line="261" w:lineRule="exact" w:before="16"/>
              <w:ind w:left="9"/>
              <w:jc w:val="center"/>
              <w:rPr>
                <w:sz w:val="24"/>
              </w:rPr>
            </w:pPr>
            <w:r>
              <w:rPr>
                <w:sz w:val="24"/>
              </w:rPr>
              <w:t>4</w:t>
            </w:r>
          </w:p>
        </w:tc>
        <w:tc>
          <w:tcPr>
            <w:tcW w:w="7083" w:type="dxa"/>
          </w:tcPr>
          <w:p>
            <w:pPr>
              <w:pStyle w:val="TableParagraph"/>
              <w:spacing w:line="261" w:lineRule="exact" w:before="16"/>
              <w:ind w:left="105"/>
              <w:jc w:val="left"/>
              <w:rPr>
                <w:sz w:val="24"/>
              </w:rPr>
            </w:pPr>
            <w:r>
              <w:rPr>
                <w:sz w:val="24"/>
              </w:rPr>
              <w:t>PT. Wijaya Karya Beton Tbk</w:t>
            </w:r>
          </w:p>
        </w:tc>
      </w:tr>
      <w:tr>
        <w:trPr>
          <w:trHeight w:val="301" w:hRule="atLeast"/>
        </w:trPr>
        <w:tc>
          <w:tcPr>
            <w:tcW w:w="514" w:type="dxa"/>
          </w:tcPr>
          <w:p>
            <w:pPr>
              <w:pStyle w:val="TableParagraph"/>
              <w:spacing w:before="15"/>
              <w:ind w:left="9"/>
              <w:jc w:val="center"/>
              <w:rPr>
                <w:sz w:val="24"/>
              </w:rPr>
            </w:pPr>
            <w:r>
              <w:rPr>
                <w:sz w:val="24"/>
              </w:rPr>
              <w:t>5</w:t>
            </w:r>
          </w:p>
        </w:tc>
        <w:tc>
          <w:tcPr>
            <w:tcW w:w="7083" w:type="dxa"/>
          </w:tcPr>
          <w:p>
            <w:pPr>
              <w:pStyle w:val="TableParagraph"/>
              <w:spacing w:before="15"/>
              <w:ind w:left="105"/>
              <w:jc w:val="left"/>
              <w:rPr>
                <w:sz w:val="24"/>
              </w:rPr>
            </w:pPr>
            <w:r>
              <w:rPr>
                <w:sz w:val="24"/>
              </w:rPr>
              <w:t>PT. Semen Baturaja Tbk</w:t>
            </w:r>
          </w:p>
        </w:tc>
      </w:tr>
      <w:tr>
        <w:trPr>
          <w:trHeight w:val="297" w:hRule="atLeast"/>
        </w:trPr>
        <w:tc>
          <w:tcPr>
            <w:tcW w:w="514" w:type="dxa"/>
          </w:tcPr>
          <w:p>
            <w:pPr>
              <w:pStyle w:val="TableParagraph"/>
              <w:spacing w:line="261" w:lineRule="exact" w:before="15"/>
              <w:ind w:left="9"/>
              <w:jc w:val="center"/>
              <w:rPr>
                <w:sz w:val="24"/>
              </w:rPr>
            </w:pPr>
            <w:r>
              <w:rPr>
                <w:sz w:val="24"/>
              </w:rPr>
              <w:t>6</w:t>
            </w:r>
          </w:p>
        </w:tc>
        <w:tc>
          <w:tcPr>
            <w:tcW w:w="7083" w:type="dxa"/>
          </w:tcPr>
          <w:p>
            <w:pPr>
              <w:pStyle w:val="TableParagraph"/>
              <w:spacing w:line="261" w:lineRule="exact" w:before="15"/>
              <w:ind w:left="105"/>
              <w:jc w:val="left"/>
              <w:rPr>
                <w:sz w:val="24"/>
              </w:rPr>
            </w:pPr>
            <w:r>
              <w:rPr>
                <w:sz w:val="24"/>
              </w:rPr>
              <w:t>PT. Holcin Indonesia Tbk</w:t>
            </w:r>
          </w:p>
        </w:tc>
      </w:tr>
    </w:tbl>
    <w:p>
      <w:pPr>
        <w:pStyle w:val="BodyText"/>
        <w:ind w:left="586"/>
      </w:pPr>
      <w:r>
        <w:rPr/>
        <w:t>Sumber : idx.co.id(2019)</w:t>
      </w:r>
    </w:p>
    <w:p>
      <w:pPr>
        <w:pStyle w:val="BodyText"/>
        <w:spacing w:before="9"/>
      </w:pPr>
    </w:p>
    <w:p>
      <w:pPr>
        <w:pStyle w:val="Heading3"/>
        <w:numPr>
          <w:ilvl w:val="3"/>
          <w:numId w:val="16"/>
        </w:numPr>
        <w:tabs>
          <w:tab w:pos="1307" w:val="left" w:leader="none"/>
        </w:tabs>
        <w:spacing w:line="240" w:lineRule="auto" w:before="0" w:after="0"/>
        <w:ind w:left="1306" w:right="0" w:hanging="721"/>
        <w:jc w:val="both"/>
      </w:pPr>
      <w:r>
        <w:rPr/>
        <w:t>Sampel</w:t>
      </w:r>
    </w:p>
    <w:p>
      <w:pPr>
        <w:pStyle w:val="BodyText"/>
        <w:spacing w:before="7"/>
        <w:rPr>
          <w:b/>
          <w:sz w:val="23"/>
        </w:rPr>
      </w:pPr>
    </w:p>
    <w:p>
      <w:pPr>
        <w:pStyle w:val="BodyText"/>
        <w:spacing w:line="480" w:lineRule="auto"/>
        <w:ind w:left="586" w:right="794" w:firstLine="566"/>
        <w:jc w:val="both"/>
      </w:pPr>
      <w:r>
        <w:rPr/>
        <w:t>Sugiyono (2015 : 67) Untuk mendapatkan sampel </w:t>
      </w:r>
      <w:r>
        <w:rPr>
          <w:spacing w:val="-3"/>
        </w:rPr>
        <w:t>yang </w:t>
      </w:r>
      <w:r>
        <w:rPr/>
        <w:t>dibutuhkan, metode pengambilan sampel yang digunakan adalah teknik pengambilan sampel menggunakan target sampling. Sampling bertujuan adalah teknik penelitian sampel dengan pertimbangan tertentu. Dengan kata </w:t>
      </w:r>
      <w:r>
        <w:rPr>
          <w:spacing w:val="-3"/>
        </w:rPr>
        <w:t>lain, </w:t>
      </w:r>
      <w:r>
        <w:rPr/>
        <w:t>purpose sampling adalah sampling yang disengaja berdasarkan persyaratan sampel yang diperlukan. Standar sampel untuk penelitian ini meliputi:</w:t>
      </w:r>
    </w:p>
    <w:p>
      <w:pPr>
        <w:pStyle w:val="ListParagraph"/>
        <w:numPr>
          <w:ilvl w:val="4"/>
          <w:numId w:val="16"/>
        </w:numPr>
        <w:tabs>
          <w:tab w:pos="1514" w:val="left" w:leader="none"/>
        </w:tabs>
        <w:spacing w:line="240" w:lineRule="auto" w:before="165" w:after="0"/>
        <w:ind w:left="1513" w:right="0" w:hanging="361"/>
        <w:jc w:val="both"/>
        <w:rPr>
          <w:sz w:val="24"/>
        </w:rPr>
      </w:pPr>
      <w:r>
        <w:rPr>
          <w:sz w:val="24"/>
        </w:rPr>
        <w:t>Perusahaan </w:t>
      </w:r>
      <w:r>
        <w:rPr>
          <w:spacing w:val="-3"/>
          <w:sz w:val="24"/>
        </w:rPr>
        <w:t>yang </w:t>
      </w:r>
      <w:r>
        <w:rPr>
          <w:sz w:val="24"/>
        </w:rPr>
        <w:t>tidak dihapuskan dari tahun 2012 hingga</w:t>
      </w:r>
      <w:r>
        <w:rPr>
          <w:spacing w:val="-3"/>
          <w:sz w:val="24"/>
        </w:rPr>
        <w:t> </w:t>
      </w:r>
      <w:r>
        <w:rPr>
          <w:sz w:val="24"/>
        </w:rPr>
        <w:t>2018.</w:t>
      </w:r>
    </w:p>
    <w:p>
      <w:pPr>
        <w:pStyle w:val="BodyText"/>
      </w:pPr>
    </w:p>
    <w:p>
      <w:pPr>
        <w:pStyle w:val="ListParagraph"/>
        <w:numPr>
          <w:ilvl w:val="4"/>
          <w:numId w:val="16"/>
        </w:numPr>
        <w:tabs>
          <w:tab w:pos="1514" w:val="left" w:leader="none"/>
        </w:tabs>
        <w:spacing w:line="480" w:lineRule="auto" w:before="0" w:after="0"/>
        <w:ind w:left="1513" w:right="804" w:hanging="361"/>
        <w:jc w:val="left"/>
        <w:rPr>
          <w:sz w:val="24"/>
        </w:rPr>
      </w:pPr>
      <w:r>
        <w:rPr>
          <w:sz w:val="24"/>
        </w:rPr>
        <w:t>Perusahaan sub sektor semen </w:t>
      </w:r>
      <w:r>
        <w:rPr>
          <w:spacing w:val="-3"/>
          <w:sz w:val="24"/>
        </w:rPr>
        <w:t>yang </w:t>
      </w:r>
      <w:r>
        <w:rPr>
          <w:sz w:val="24"/>
        </w:rPr>
        <w:t>terdaftar di Bursa Efek Indonesia  dari 2012 hingga</w:t>
      </w:r>
      <w:r>
        <w:rPr>
          <w:spacing w:val="-4"/>
          <w:sz w:val="24"/>
        </w:rPr>
        <w:t> </w:t>
      </w:r>
      <w:r>
        <w:rPr>
          <w:sz w:val="24"/>
        </w:rPr>
        <w:t>2018.</w:t>
      </w:r>
    </w:p>
    <w:p>
      <w:pPr>
        <w:pStyle w:val="ListParagraph"/>
        <w:numPr>
          <w:ilvl w:val="4"/>
          <w:numId w:val="16"/>
        </w:numPr>
        <w:tabs>
          <w:tab w:pos="1514" w:val="left" w:leader="none"/>
        </w:tabs>
        <w:spacing w:line="480" w:lineRule="auto" w:before="1" w:after="0"/>
        <w:ind w:left="1513" w:right="806" w:hanging="361"/>
        <w:jc w:val="left"/>
        <w:rPr>
          <w:sz w:val="24"/>
        </w:rPr>
      </w:pPr>
      <w:r>
        <w:rPr>
          <w:sz w:val="24"/>
        </w:rPr>
        <w:t>Perusahaan </w:t>
      </w:r>
      <w:r>
        <w:rPr>
          <w:spacing w:val="-3"/>
          <w:sz w:val="24"/>
        </w:rPr>
        <w:t>yang </w:t>
      </w:r>
      <w:r>
        <w:rPr>
          <w:sz w:val="24"/>
        </w:rPr>
        <w:t>menyediakan laporan keuangan lengkap dari 2012 hingga 2018.</w:t>
      </w:r>
    </w:p>
    <w:p>
      <w:pPr>
        <w:pStyle w:val="BodyText"/>
        <w:spacing w:line="480" w:lineRule="auto"/>
        <w:ind w:left="586" w:right="792" w:firstLine="720"/>
      </w:pPr>
      <w:r>
        <w:rPr/>
        <w:t>Sampel dalam penelitian ini sebanyak 5 Perusahaan sub sektor semen yang terdaftar di Bursa Efek Indonesia sebagai berikut :</w:t>
      </w:r>
    </w:p>
    <w:p>
      <w:pPr>
        <w:spacing w:after="0" w:line="480" w:lineRule="auto"/>
        <w:sectPr>
          <w:pgSz w:w="11910" w:h="16840"/>
          <w:pgMar w:header="0" w:footer="998" w:top="1580" w:bottom="1180" w:left="1680" w:right="900"/>
        </w:sectPr>
      </w:pPr>
    </w:p>
    <w:p>
      <w:pPr>
        <w:pStyle w:val="BodyText"/>
        <w:rPr>
          <w:sz w:val="20"/>
        </w:rPr>
      </w:pPr>
    </w:p>
    <w:p>
      <w:pPr>
        <w:pStyle w:val="BodyText"/>
        <w:spacing w:before="6"/>
        <w:rPr>
          <w:sz w:val="29"/>
        </w:rPr>
      </w:pPr>
    </w:p>
    <w:p>
      <w:pPr>
        <w:pStyle w:val="BodyText"/>
        <w:spacing w:line="280" w:lineRule="auto" w:before="90"/>
        <w:ind w:left="3525" w:right="546" w:hanging="2699"/>
      </w:pPr>
      <w:r>
        <w:rPr/>
        <w:t>Tabel 3.3 Sampel Penelitian Perusahaan Sub Sektor Semen yang Terdaftar di Bursa Efek Indonesia</w:t>
      </w:r>
    </w:p>
    <w:tbl>
      <w:tblPr>
        <w:tblW w:w="0" w:type="auto"/>
        <w:jc w:val="left"/>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7083"/>
      </w:tblGrid>
      <w:tr>
        <w:trPr>
          <w:trHeight w:val="297" w:hRule="atLeast"/>
        </w:trPr>
        <w:tc>
          <w:tcPr>
            <w:tcW w:w="514" w:type="dxa"/>
          </w:tcPr>
          <w:p>
            <w:pPr>
              <w:pStyle w:val="TableParagraph"/>
              <w:spacing w:line="261" w:lineRule="exact" w:before="15"/>
              <w:ind w:left="89" w:right="81"/>
              <w:jc w:val="center"/>
              <w:rPr>
                <w:sz w:val="24"/>
              </w:rPr>
            </w:pPr>
            <w:r>
              <w:rPr>
                <w:sz w:val="24"/>
              </w:rPr>
              <w:t>No</w:t>
            </w:r>
          </w:p>
        </w:tc>
        <w:tc>
          <w:tcPr>
            <w:tcW w:w="7083" w:type="dxa"/>
          </w:tcPr>
          <w:p>
            <w:pPr>
              <w:pStyle w:val="TableParagraph"/>
              <w:spacing w:line="261" w:lineRule="exact" w:before="15"/>
              <w:ind w:left="2654" w:right="2653"/>
              <w:jc w:val="center"/>
              <w:rPr>
                <w:sz w:val="24"/>
              </w:rPr>
            </w:pPr>
            <w:r>
              <w:rPr>
                <w:sz w:val="24"/>
              </w:rPr>
              <w:t>Nama Perusahaan</w:t>
            </w:r>
          </w:p>
        </w:tc>
      </w:tr>
      <w:tr>
        <w:trPr>
          <w:trHeight w:val="302" w:hRule="atLeast"/>
        </w:trPr>
        <w:tc>
          <w:tcPr>
            <w:tcW w:w="514" w:type="dxa"/>
          </w:tcPr>
          <w:p>
            <w:pPr>
              <w:pStyle w:val="TableParagraph"/>
              <w:spacing w:before="15"/>
              <w:ind w:left="9"/>
              <w:jc w:val="center"/>
              <w:rPr>
                <w:sz w:val="24"/>
              </w:rPr>
            </w:pPr>
            <w:r>
              <w:rPr>
                <w:sz w:val="24"/>
              </w:rPr>
              <w:t>1</w:t>
            </w:r>
          </w:p>
        </w:tc>
        <w:tc>
          <w:tcPr>
            <w:tcW w:w="7083" w:type="dxa"/>
          </w:tcPr>
          <w:p>
            <w:pPr>
              <w:pStyle w:val="TableParagraph"/>
              <w:spacing w:before="15"/>
              <w:ind w:left="105"/>
              <w:jc w:val="left"/>
              <w:rPr>
                <w:sz w:val="24"/>
              </w:rPr>
            </w:pPr>
            <w:r>
              <w:rPr>
                <w:sz w:val="24"/>
              </w:rPr>
              <w:t>PT. Indocement Tunggal Prakarsa Tbk</w:t>
            </w:r>
          </w:p>
        </w:tc>
      </w:tr>
      <w:tr>
        <w:trPr>
          <w:trHeight w:val="297" w:hRule="atLeast"/>
        </w:trPr>
        <w:tc>
          <w:tcPr>
            <w:tcW w:w="514" w:type="dxa"/>
          </w:tcPr>
          <w:p>
            <w:pPr>
              <w:pStyle w:val="TableParagraph"/>
              <w:spacing w:line="261" w:lineRule="exact" w:before="15"/>
              <w:ind w:left="9"/>
              <w:jc w:val="center"/>
              <w:rPr>
                <w:sz w:val="24"/>
              </w:rPr>
            </w:pPr>
            <w:r>
              <w:rPr>
                <w:sz w:val="24"/>
              </w:rPr>
              <w:t>2</w:t>
            </w:r>
          </w:p>
        </w:tc>
        <w:tc>
          <w:tcPr>
            <w:tcW w:w="7083" w:type="dxa"/>
          </w:tcPr>
          <w:p>
            <w:pPr>
              <w:pStyle w:val="TableParagraph"/>
              <w:spacing w:line="261" w:lineRule="exact" w:before="15"/>
              <w:ind w:left="105"/>
              <w:jc w:val="left"/>
              <w:rPr>
                <w:sz w:val="24"/>
              </w:rPr>
            </w:pPr>
            <w:r>
              <w:rPr>
                <w:sz w:val="24"/>
              </w:rPr>
              <w:t>PT. Semen Indonesia Tbk</w:t>
            </w:r>
          </w:p>
        </w:tc>
      </w:tr>
      <w:tr>
        <w:trPr>
          <w:trHeight w:val="302" w:hRule="atLeast"/>
        </w:trPr>
        <w:tc>
          <w:tcPr>
            <w:tcW w:w="514" w:type="dxa"/>
          </w:tcPr>
          <w:p>
            <w:pPr>
              <w:pStyle w:val="TableParagraph"/>
              <w:spacing w:line="261" w:lineRule="exact" w:before="20"/>
              <w:ind w:left="9"/>
              <w:jc w:val="center"/>
              <w:rPr>
                <w:sz w:val="24"/>
              </w:rPr>
            </w:pPr>
            <w:r>
              <w:rPr>
                <w:sz w:val="24"/>
              </w:rPr>
              <w:t>3</w:t>
            </w:r>
          </w:p>
        </w:tc>
        <w:tc>
          <w:tcPr>
            <w:tcW w:w="7083" w:type="dxa"/>
          </w:tcPr>
          <w:p>
            <w:pPr>
              <w:pStyle w:val="TableParagraph"/>
              <w:spacing w:line="261" w:lineRule="exact" w:before="20"/>
              <w:ind w:left="105"/>
              <w:jc w:val="left"/>
              <w:rPr>
                <w:sz w:val="24"/>
              </w:rPr>
            </w:pPr>
            <w:r>
              <w:rPr>
                <w:sz w:val="24"/>
              </w:rPr>
              <w:t>PT. Wijaya Karya Beton Tbk</w:t>
            </w:r>
          </w:p>
        </w:tc>
      </w:tr>
      <w:tr>
        <w:trPr>
          <w:trHeight w:val="302" w:hRule="atLeast"/>
        </w:trPr>
        <w:tc>
          <w:tcPr>
            <w:tcW w:w="514" w:type="dxa"/>
          </w:tcPr>
          <w:p>
            <w:pPr>
              <w:pStyle w:val="TableParagraph"/>
              <w:spacing w:before="16"/>
              <w:ind w:left="9"/>
              <w:jc w:val="center"/>
              <w:rPr>
                <w:sz w:val="24"/>
              </w:rPr>
            </w:pPr>
            <w:r>
              <w:rPr>
                <w:sz w:val="24"/>
              </w:rPr>
              <w:t>4</w:t>
            </w:r>
          </w:p>
        </w:tc>
        <w:tc>
          <w:tcPr>
            <w:tcW w:w="7083" w:type="dxa"/>
          </w:tcPr>
          <w:p>
            <w:pPr>
              <w:pStyle w:val="TableParagraph"/>
              <w:spacing w:before="16"/>
              <w:ind w:left="105"/>
              <w:jc w:val="left"/>
              <w:rPr>
                <w:sz w:val="24"/>
              </w:rPr>
            </w:pPr>
            <w:r>
              <w:rPr>
                <w:sz w:val="24"/>
              </w:rPr>
              <w:t>PT. Semen Baturaja Tbk</w:t>
            </w:r>
          </w:p>
        </w:tc>
      </w:tr>
      <w:tr>
        <w:trPr>
          <w:trHeight w:val="297" w:hRule="atLeast"/>
        </w:trPr>
        <w:tc>
          <w:tcPr>
            <w:tcW w:w="514" w:type="dxa"/>
          </w:tcPr>
          <w:p>
            <w:pPr>
              <w:pStyle w:val="TableParagraph"/>
              <w:spacing w:line="261" w:lineRule="exact" w:before="15"/>
              <w:ind w:left="9"/>
              <w:jc w:val="center"/>
              <w:rPr>
                <w:sz w:val="24"/>
              </w:rPr>
            </w:pPr>
            <w:r>
              <w:rPr>
                <w:sz w:val="24"/>
              </w:rPr>
              <w:t>5</w:t>
            </w:r>
          </w:p>
        </w:tc>
        <w:tc>
          <w:tcPr>
            <w:tcW w:w="7083" w:type="dxa"/>
          </w:tcPr>
          <w:p>
            <w:pPr>
              <w:pStyle w:val="TableParagraph"/>
              <w:spacing w:line="261" w:lineRule="exact" w:before="15"/>
              <w:ind w:left="105"/>
              <w:jc w:val="left"/>
              <w:rPr>
                <w:sz w:val="24"/>
              </w:rPr>
            </w:pPr>
            <w:r>
              <w:rPr>
                <w:sz w:val="24"/>
              </w:rPr>
              <w:t>PT. Holcin Indonesia Tbk</w:t>
            </w:r>
          </w:p>
        </w:tc>
      </w:tr>
    </w:tbl>
    <w:p>
      <w:pPr>
        <w:pStyle w:val="BodyText"/>
        <w:ind w:left="1306"/>
      </w:pPr>
      <w:r>
        <w:rPr/>
        <w:t>Sumber : idx.co.id(2019)</w:t>
      </w:r>
    </w:p>
    <w:p>
      <w:pPr>
        <w:pStyle w:val="BodyText"/>
        <w:spacing w:before="4"/>
      </w:pPr>
    </w:p>
    <w:p>
      <w:pPr>
        <w:pStyle w:val="Heading3"/>
        <w:numPr>
          <w:ilvl w:val="2"/>
          <w:numId w:val="16"/>
        </w:numPr>
        <w:tabs>
          <w:tab w:pos="1153" w:val="left" w:leader="none"/>
        </w:tabs>
        <w:spacing w:line="240" w:lineRule="auto" w:before="1" w:after="0"/>
        <w:ind w:left="1153" w:right="0" w:hanging="567"/>
        <w:jc w:val="both"/>
      </w:pPr>
      <w:r>
        <w:rPr/>
        <w:t>Jenis dan Teknik Pengumpulan</w:t>
      </w:r>
      <w:r>
        <w:rPr>
          <w:spacing w:val="8"/>
        </w:rPr>
        <w:t> </w:t>
      </w:r>
      <w:r>
        <w:rPr/>
        <w:t>Data</w:t>
      </w:r>
    </w:p>
    <w:p>
      <w:pPr>
        <w:pStyle w:val="BodyText"/>
        <w:spacing w:before="7"/>
        <w:rPr>
          <w:b/>
          <w:sz w:val="23"/>
        </w:rPr>
      </w:pPr>
    </w:p>
    <w:p>
      <w:pPr>
        <w:pStyle w:val="ListParagraph"/>
        <w:numPr>
          <w:ilvl w:val="3"/>
          <w:numId w:val="16"/>
        </w:numPr>
        <w:tabs>
          <w:tab w:pos="1297" w:val="left" w:leader="none"/>
        </w:tabs>
        <w:spacing w:line="240" w:lineRule="auto" w:before="0" w:after="0"/>
        <w:ind w:left="1297" w:right="0" w:hanging="711"/>
        <w:jc w:val="both"/>
        <w:rPr>
          <w:b/>
          <w:sz w:val="24"/>
        </w:rPr>
      </w:pPr>
      <w:r>
        <w:rPr>
          <w:b/>
          <w:sz w:val="24"/>
        </w:rPr>
        <w:t>Jenis Data</w:t>
      </w:r>
    </w:p>
    <w:p>
      <w:pPr>
        <w:pStyle w:val="BodyText"/>
        <w:spacing w:line="480" w:lineRule="auto" w:before="185"/>
        <w:ind w:left="586" w:right="789" w:firstLine="710"/>
        <w:jc w:val="both"/>
      </w:pPr>
      <w:r>
        <w:rPr/>
        <w:t>Tipe data yang digunakan dalam penelitian ini adalah data kuantitatif. Data kuantitatif adalah data dalam bentuk </w:t>
      </w:r>
      <w:r>
        <w:rPr>
          <w:spacing w:val="-3"/>
        </w:rPr>
        <w:t>digital. </w:t>
      </w:r>
      <w:r>
        <w:rPr/>
        <w:t>Data kuantitatif adalah objektif, </w:t>
      </w:r>
      <w:r>
        <w:rPr>
          <w:spacing w:val="2"/>
        </w:rPr>
        <w:t>dan </w:t>
      </w:r>
      <w:r>
        <w:rPr/>
        <w:t>semua orang dapat memahaminya secara sama (Riduwan, 2014 : 106). Dalam penelitian </w:t>
      </w:r>
      <w:r>
        <w:rPr>
          <w:spacing w:val="-3"/>
        </w:rPr>
        <w:t>ini, </w:t>
      </w:r>
      <w:r>
        <w:rPr/>
        <w:t>data kuantitatif adalah laporan keuangan perusahaan industri  sperma yang terdaftar di Bursa Efek</w:t>
      </w:r>
      <w:r>
        <w:rPr>
          <w:spacing w:val="4"/>
        </w:rPr>
        <w:t> </w:t>
      </w:r>
      <w:r>
        <w:rPr/>
        <w:t>Indonesia.</w:t>
      </w:r>
    </w:p>
    <w:p>
      <w:pPr>
        <w:pStyle w:val="Heading3"/>
        <w:numPr>
          <w:ilvl w:val="3"/>
          <w:numId w:val="16"/>
        </w:numPr>
        <w:tabs>
          <w:tab w:pos="1297" w:val="left" w:leader="none"/>
        </w:tabs>
        <w:spacing w:line="240" w:lineRule="auto" w:before="1" w:after="0"/>
        <w:ind w:left="1297" w:right="0" w:hanging="711"/>
        <w:jc w:val="both"/>
      </w:pPr>
      <w:r>
        <w:rPr/>
        <w:t>Teknik Pengumpulan</w:t>
      </w:r>
      <w:r>
        <w:rPr>
          <w:spacing w:val="-1"/>
        </w:rPr>
        <w:t> </w:t>
      </w:r>
      <w:r>
        <w:rPr/>
        <w:t>Data</w:t>
      </w:r>
    </w:p>
    <w:p>
      <w:pPr>
        <w:pStyle w:val="BodyText"/>
        <w:spacing w:line="480" w:lineRule="auto" w:before="180"/>
        <w:ind w:left="586" w:right="803" w:firstLine="566"/>
        <w:jc w:val="both"/>
      </w:pPr>
      <w:r>
        <w:rPr/>
        <w:t>Metode pengumpulan data yang digunakan dalam penelitian ini adalah dengan menggunakan data tambahan melalui dokumen, yaitu untuk merekam atau menyalin data yang terdaftar di Bursa Efek Indonesia dan dokumen lain yang diperlukan untuk penelitian ini.</w:t>
      </w:r>
    </w:p>
    <w:p>
      <w:pPr>
        <w:pStyle w:val="Heading3"/>
        <w:numPr>
          <w:ilvl w:val="2"/>
          <w:numId w:val="16"/>
        </w:numPr>
        <w:tabs>
          <w:tab w:pos="1153" w:val="left" w:leader="none"/>
        </w:tabs>
        <w:spacing w:line="240" w:lineRule="auto" w:before="5" w:after="0"/>
        <w:ind w:left="1153" w:right="0" w:hanging="567"/>
        <w:jc w:val="both"/>
      </w:pPr>
      <w:r>
        <w:rPr/>
        <w:t>Metode Analisis</w:t>
      </w:r>
      <w:r>
        <w:rPr>
          <w:spacing w:val="-10"/>
        </w:rPr>
        <w:t> </w:t>
      </w:r>
      <w:r>
        <w:rPr/>
        <w:t>Data</w:t>
      </w:r>
    </w:p>
    <w:p>
      <w:pPr>
        <w:pStyle w:val="BodyText"/>
        <w:rPr>
          <w:b/>
        </w:rPr>
      </w:pPr>
    </w:p>
    <w:p>
      <w:pPr>
        <w:pStyle w:val="ListParagraph"/>
        <w:numPr>
          <w:ilvl w:val="3"/>
          <w:numId w:val="16"/>
        </w:numPr>
        <w:tabs>
          <w:tab w:pos="1307" w:val="left" w:leader="none"/>
        </w:tabs>
        <w:spacing w:line="240" w:lineRule="auto" w:before="0" w:after="0"/>
        <w:ind w:left="1306" w:right="0" w:hanging="721"/>
        <w:jc w:val="both"/>
        <w:rPr>
          <w:b/>
          <w:sz w:val="24"/>
        </w:rPr>
      </w:pPr>
      <w:r>
        <w:rPr>
          <w:b/>
          <w:sz w:val="24"/>
        </w:rPr>
        <w:t>Uji Asumsi</w:t>
      </w:r>
      <w:r>
        <w:rPr>
          <w:b/>
          <w:spacing w:val="-10"/>
          <w:sz w:val="24"/>
        </w:rPr>
        <w:t> </w:t>
      </w:r>
      <w:r>
        <w:rPr>
          <w:b/>
          <w:sz w:val="24"/>
        </w:rPr>
        <w:t>Klasik</w:t>
      </w:r>
    </w:p>
    <w:p>
      <w:pPr>
        <w:pStyle w:val="BodyText"/>
        <w:spacing w:before="7"/>
        <w:rPr>
          <w:b/>
          <w:sz w:val="23"/>
        </w:rPr>
      </w:pPr>
    </w:p>
    <w:p>
      <w:pPr>
        <w:pStyle w:val="BodyText"/>
        <w:spacing w:line="480" w:lineRule="auto" w:before="1"/>
        <w:ind w:left="586" w:right="802" w:firstLine="566"/>
        <w:jc w:val="both"/>
      </w:pPr>
      <w:r>
        <w:rPr/>
        <w:t>Sebelum melakukan perhitungan statistik regresi berganda untuk menentukan pengaruh variabel independen terhadap variabel dependen, diperlukan uji hipotesis klasik. Ghozali (2005) pengujian hipotesis klasik meliputi:</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ListParagraph"/>
        <w:numPr>
          <w:ilvl w:val="0"/>
          <w:numId w:val="17"/>
        </w:numPr>
        <w:tabs>
          <w:tab w:pos="1153" w:val="left" w:leader="none"/>
        </w:tabs>
        <w:spacing w:line="240" w:lineRule="auto" w:before="205" w:after="0"/>
        <w:ind w:left="1153" w:right="0" w:hanging="284"/>
        <w:jc w:val="both"/>
        <w:rPr>
          <w:sz w:val="24"/>
        </w:rPr>
      </w:pPr>
      <w:r>
        <w:rPr>
          <w:sz w:val="24"/>
        </w:rPr>
        <w:t>Uji</w:t>
      </w:r>
      <w:r>
        <w:rPr>
          <w:spacing w:val="-7"/>
          <w:sz w:val="24"/>
        </w:rPr>
        <w:t> </w:t>
      </w:r>
      <w:r>
        <w:rPr>
          <w:sz w:val="24"/>
        </w:rPr>
        <w:t>Normalitas</w:t>
      </w:r>
    </w:p>
    <w:p>
      <w:pPr>
        <w:pStyle w:val="BodyText"/>
      </w:pPr>
    </w:p>
    <w:p>
      <w:pPr>
        <w:pStyle w:val="BodyText"/>
        <w:spacing w:line="480" w:lineRule="auto"/>
        <w:ind w:left="1153" w:right="793"/>
        <w:jc w:val="both"/>
      </w:pPr>
      <w:r>
        <w:rPr/>
        <w:t>Uji normalitas bertujuan untuk menguji apakah variabel independen dan dependen dalam model regresi memiliki distribusi normal (Ghozali, 2005). Model regresi </w:t>
      </w:r>
      <w:r>
        <w:rPr>
          <w:spacing w:val="-3"/>
        </w:rPr>
        <w:t>yang </w:t>
      </w:r>
      <w:r>
        <w:rPr/>
        <w:t>baik adalah data dengan distribusi normal. Untuk menguji apakah ada distribusi normal dalam model regresi, uji Kolmogorof &amp; Smirnov dan analisis grafis digunakan. Dalam tes </w:t>
      </w:r>
      <w:r>
        <w:rPr>
          <w:spacing w:val="-3"/>
        </w:rPr>
        <w:t>ini, </w:t>
      </w:r>
      <w:r>
        <w:rPr/>
        <w:t>jika tingkat signifikansi yang dihasilkan adalah 5%, itu berarti bahwa data </w:t>
      </w:r>
      <w:r>
        <w:rPr>
          <w:spacing w:val="-3"/>
        </w:rPr>
        <w:t>yang </w:t>
      </w:r>
      <w:r>
        <w:rPr/>
        <w:t>akan diproses memiliki distribusi normal, jika tingkat signifikansi  yang dihasilkan kurang dari 5%, data tidak akan didistribusikan secara normal. Selain itu, analisis grafik juga digunakan. Jika data </w:t>
      </w:r>
      <w:r>
        <w:rPr>
          <w:spacing w:val="-3"/>
        </w:rPr>
        <w:t>yang </w:t>
      </w:r>
      <w:r>
        <w:rPr/>
        <w:t>dihasilkan mengelilingi diagonal dan menyebar secara diagonal, model regresi akan memenuhi asumsi normalitas data. Di sisi lain, jika data tersebar jauh </w:t>
      </w:r>
      <w:r>
        <w:rPr>
          <w:spacing w:val="2"/>
        </w:rPr>
        <w:t>dari </w:t>
      </w:r>
      <w:r>
        <w:rPr/>
        <w:t>diagonal atau tidak mengikuti arah garis lurus, model regresi tidak memenuhi asumsi</w:t>
      </w:r>
      <w:r>
        <w:rPr>
          <w:spacing w:val="-2"/>
        </w:rPr>
        <w:t> </w:t>
      </w:r>
      <w:r>
        <w:rPr/>
        <w:t>normalitas.</w:t>
      </w:r>
    </w:p>
    <w:p>
      <w:pPr>
        <w:pStyle w:val="ListParagraph"/>
        <w:numPr>
          <w:ilvl w:val="0"/>
          <w:numId w:val="17"/>
        </w:numPr>
        <w:tabs>
          <w:tab w:pos="1153" w:val="left" w:leader="none"/>
        </w:tabs>
        <w:spacing w:line="240" w:lineRule="auto" w:before="2" w:after="0"/>
        <w:ind w:left="1153" w:right="0" w:hanging="284"/>
        <w:jc w:val="both"/>
        <w:rPr>
          <w:sz w:val="24"/>
        </w:rPr>
      </w:pPr>
      <w:r>
        <w:rPr>
          <w:sz w:val="24"/>
        </w:rPr>
        <w:t>Uji</w:t>
      </w:r>
      <w:r>
        <w:rPr>
          <w:spacing w:val="-4"/>
          <w:sz w:val="24"/>
        </w:rPr>
        <w:t> </w:t>
      </w:r>
      <w:r>
        <w:rPr>
          <w:sz w:val="24"/>
        </w:rPr>
        <w:t>Multikolineritas</w:t>
      </w:r>
    </w:p>
    <w:p>
      <w:pPr>
        <w:pStyle w:val="BodyText"/>
      </w:pPr>
    </w:p>
    <w:p>
      <w:pPr>
        <w:pStyle w:val="BodyText"/>
        <w:spacing w:line="480" w:lineRule="auto"/>
        <w:ind w:left="1153" w:right="790"/>
        <w:jc w:val="both"/>
      </w:pPr>
      <w:r>
        <w:rPr/>
        <w:t>Uji multikolinieritas bertujuan untuk menguji apakah model regresi menemukan korelasi antara variabel independen. Jika variabel-variabel ini terkait, mereka tidak ortogonal. Untuk mendeteksi keberadaan multikolinearitas, penelitian ini menggunakan regresi R-squared. Model regresi empiris yang diproduksi oleh R-squared memiliki estimasi tinggi, tetapi ada banyak variabel independen yang tidak secara signifikan mempengaruhi variabel dependen, dapat terjadi multikolinieritas, atau</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1153" w:right="801"/>
        <w:jc w:val="both"/>
      </w:pPr>
      <w:r>
        <w:rPr/>
        <w:t>matriks toleransi dapat juga digunakan dalam program SPSS (Ghozali, 2005).</w:t>
      </w:r>
    </w:p>
    <w:p>
      <w:pPr>
        <w:pStyle w:val="ListParagraph"/>
        <w:numPr>
          <w:ilvl w:val="0"/>
          <w:numId w:val="17"/>
        </w:numPr>
        <w:tabs>
          <w:tab w:pos="1153" w:val="left" w:leader="none"/>
        </w:tabs>
        <w:spacing w:line="240" w:lineRule="auto" w:before="0" w:after="0"/>
        <w:ind w:left="1153" w:right="0" w:hanging="284"/>
        <w:jc w:val="both"/>
        <w:rPr>
          <w:sz w:val="24"/>
        </w:rPr>
      </w:pPr>
      <w:r>
        <w:rPr>
          <w:sz w:val="24"/>
        </w:rPr>
        <w:t>Uji</w:t>
      </w:r>
      <w:r>
        <w:rPr>
          <w:spacing w:val="-8"/>
          <w:sz w:val="24"/>
        </w:rPr>
        <w:t> </w:t>
      </w:r>
      <w:r>
        <w:rPr>
          <w:sz w:val="24"/>
        </w:rPr>
        <w:t>Heterokedastisitas</w:t>
      </w:r>
    </w:p>
    <w:p>
      <w:pPr>
        <w:pStyle w:val="BodyText"/>
      </w:pPr>
    </w:p>
    <w:p>
      <w:pPr>
        <w:pStyle w:val="BodyText"/>
        <w:spacing w:line="480" w:lineRule="auto"/>
        <w:ind w:left="1153" w:right="797"/>
        <w:jc w:val="both"/>
      </w:pPr>
      <w:r>
        <w:rPr/>
        <w:t>Uji heteroskedastisitas bertujuan untuk menguji apakah ada ketidaksamaan varians dalam residual dari satu pengamatan ke yang lain dalam modal regresi. Jika perbedaan dari satu pengamatan ke pengamatan lainnya masih disebut homoroskedastisitas, dan jika variasinya berbeda, itu disebut heteroskedastisitas. Dalam penelitian ini, untuk mendeteksi keberadaan heteroskedastisitas, tes Parker digunakan. Jika koefisien parameter beta (β) dari persamaan regresi secara statistik signifikan, maka ini menunjukkan dalam model data empiris bahwa diperkirakan heteroskedastisitas akan terjadi. Begitu juga sebaliknya, jika parameter β (β) adalah statistik, asumsi homoseksualitas dalam model data tidak dapat ditolak (Ghozali, 2005).</w:t>
      </w:r>
    </w:p>
    <w:p>
      <w:pPr>
        <w:pStyle w:val="ListParagraph"/>
        <w:numPr>
          <w:ilvl w:val="0"/>
          <w:numId w:val="17"/>
        </w:numPr>
        <w:tabs>
          <w:tab w:pos="1153" w:val="left" w:leader="none"/>
        </w:tabs>
        <w:spacing w:line="240" w:lineRule="auto" w:before="2" w:after="0"/>
        <w:ind w:left="1153" w:right="0" w:hanging="284"/>
        <w:jc w:val="both"/>
        <w:rPr>
          <w:sz w:val="24"/>
        </w:rPr>
      </w:pPr>
      <w:r>
        <w:rPr>
          <w:sz w:val="24"/>
        </w:rPr>
        <w:t>Uji</w:t>
      </w:r>
      <w:r>
        <w:rPr>
          <w:spacing w:val="-4"/>
          <w:sz w:val="24"/>
        </w:rPr>
        <w:t> </w:t>
      </w:r>
      <w:r>
        <w:rPr>
          <w:sz w:val="24"/>
        </w:rPr>
        <w:t>Autokolerasi</w:t>
      </w:r>
    </w:p>
    <w:p>
      <w:pPr>
        <w:pStyle w:val="BodyText"/>
      </w:pPr>
    </w:p>
    <w:p>
      <w:pPr>
        <w:pStyle w:val="BodyText"/>
        <w:spacing w:line="480" w:lineRule="auto"/>
        <w:ind w:left="1153" w:right="797"/>
        <w:jc w:val="both"/>
      </w:pPr>
      <w:r>
        <w:rPr/>
        <w:t>Uji autokorelasi otomatis bertujuan untuk menguji apakah penyusup memiliki korelasi antara kesalahan periode 1 dan kesalahan periode 11 dalam model regresi linier. Jika ada korelasi, ini disebut masalah keterlambatan otomatis. Ini biasanya ditemukan dalam data deret waktu, dan dalam data cross-sectional, masalah kolerasi otomatis jarang terjadi. Model regresi </w:t>
      </w:r>
      <w:r>
        <w:rPr>
          <w:spacing w:val="-3"/>
        </w:rPr>
        <w:t>yang </w:t>
      </w:r>
      <w:r>
        <w:rPr/>
        <w:t>baik adalah regresi tanpa sinergi otomatis.  Dalam penelitian </w:t>
      </w:r>
      <w:r>
        <w:rPr>
          <w:spacing w:val="-3"/>
        </w:rPr>
        <w:t>ini, </w:t>
      </w:r>
      <w:r>
        <w:rPr/>
        <w:t>tes Durbin Watson digunakan untuk mendeteksi adanya pengetatan otomatis. Tes Durbin Watson ini digunakan untuk mendeteksi penyimpangan otomatis tingkat pertama, dan memerlukan konstanta</w:t>
      </w:r>
      <w:r>
        <w:rPr>
          <w:spacing w:val="-35"/>
        </w:rPr>
        <w:t> </w:t>
      </w:r>
      <w:r>
        <w:rPr/>
        <w:t>dalam</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1153" w:right="546"/>
      </w:pPr>
      <w:r>
        <w:rPr/>
        <w:t>model regresi, dan tidak ada variabel lain dalam variabel independen. Perhitungan menggunakan program SPSS (Ghozali, 2005).</w:t>
      </w:r>
    </w:p>
    <w:p>
      <w:pPr>
        <w:pStyle w:val="ListParagraph"/>
        <w:numPr>
          <w:ilvl w:val="2"/>
          <w:numId w:val="16"/>
        </w:numPr>
        <w:tabs>
          <w:tab w:pos="1153" w:val="left" w:leader="none"/>
        </w:tabs>
        <w:spacing w:line="253" w:lineRule="exact" w:before="0" w:after="0"/>
        <w:ind w:left="1153" w:right="0" w:hanging="567"/>
        <w:jc w:val="left"/>
        <w:rPr>
          <w:b/>
          <w:sz w:val="22"/>
        </w:rPr>
      </w:pPr>
      <w:r>
        <w:rPr>
          <w:b/>
          <w:sz w:val="22"/>
        </w:rPr>
        <w:t>Analisis Regresi</w:t>
      </w:r>
      <w:r>
        <w:rPr>
          <w:b/>
          <w:spacing w:val="2"/>
          <w:sz w:val="22"/>
        </w:rPr>
        <w:t> </w:t>
      </w:r>
      <w:r>
        <w:rPr>
          <w:b/>
          <w:sz w:val="22"/>
        </w:rPr>
        <w:t>Berganda</w:t>
      </w:r>
    </w:p>
    <w:p>
      <w:pPr>
        <w:pStyle w:val="BodyText"/>
        <w:spacing w:before="3"/>
        <w:rPr>
          <w:b/>
          <w:sz w:val="22"/>
        </w:rPr>
      </w:pPr>
    </w:p>
    <w:p>
      <w:pPr>
        <w:pStyle w:val="BodyText"/>
        <w:spacing w:line="480" w:lineRule="auto"/>
        <w:ind w:left="586" w:right="792" w:firstLine="566"/>
        <w:jc w:val="both"/>
      </w:pPr>
      <w:r>
        <w:rPr/>
        <w:pict>
          <v:group style="position:absolute;margin-left:117.525002pt;margin-top:195.438095pt;width:387pt;height:167.75pt;mso-position-horizontal-relative:page;mso-position-vertical-relative:paragraph;z-index:-15723520;mso-wrap-distance-left:0;mso-wrap-distance-right:0" coordorigin="2351,3909" coordsize="7740,3355">
            <v:shape style="position:absolute;left:4516;top:4674;width:3437;height:961" coordorigin="4516,4674" coordsize="3437,961" path="m7835,5584l7822,5635,7953,5608,7932,5590,7855,5590,7835,5584xm7839,5570l7835,5584,7855,5590,7858,5575,7839,5570xm7853,5519l7839,5570,7858,5575,7855,5590,7932,5590,7853,5519xm4520,4674l4516,4688,7835,5584,7839,5570,4520,4674xe" filled="true" fillcolor="#000000" stroked="false">
              <v:path arrowok="t"/>
              <v:fill type="solid"/>
            </v:shape>
            <v:rect style="position:absolute;left:2358;top:3916;width:7725;height:3340" filled="false" stroked="true" strokeweight=".75pt" strokecolor="#000000">
              <v:stroke dashstyle="solid"/>
            </v:rect>
            <v:shape style="position:absolute;left:4516;top:5577;width:3437;height:787" coordorigin="4516,5578" coordsize="3437,787" path="m7834,5629l4516,6350,4520,6365,7837,5644,7834,5629xm7936,5625l7854,5625,7857,5640,7837,5644,7848,5695,7936,5625xm7854,5625l7834,5629,7837,5644,7857,5640,7854,5625xm7823,5578l7834,5629,7854,5625,7936,5625,7953,5611,7823,5578xe" filled="true" fillcolor="#000000" stroked="false">
              <v:path arrowok="t"/>
              <v:fill type="solid"/>
            </v:shape>
            <v:shape style="position:absolute;left:3663;top:6106;width:850;height:481" type="#_x0000_t202" filled="false" stroked="true" strokeweight=".75pt" strokecolor="#000000">
              <v:textbox inset="0,0,0,0">
                <w:txbxContent>
                  <w:p>
                    <w:pPr>
                      <w:spacing w:before="68"/>
                      <w:ind w:left="252" w:right="0" w:firstLine="0"/>
                      <w:jc w:val="left"/>
                      <w:rPr>
                        <w:sz w:val="32"/>
                      </w:rPr>
                    </w:pPr>
                    <w:r>
                      <w:rPr>
                        <w:sz w:val="32"/>
                      </w:rPr>
                      <w:t>X</w:t>
                    </w:r>
                    <w:r>
                      <w:rPr>
                        <w:sz w:val="32"/>
                        <w:vertAlign w:val="subscript"/>
                      </w:rPr>
                      <w:t>2</w:t>
                    </w:r>
                  </w:p>
                </w:txbxContent>
              </v:textbox>
              <v:stroke dashstyle="solid"/>
              <w10:wrap type="none"/>
            </v:shape>
            <v:shape style="position:absolute;left:7953;top:5415;width:850;height:465" type="#_x0000_t202" filled="false" stroked="true" strokeweight=".75pt" strokecolor="#000000">
              <v:textbox inset="0,0,0,0">
                <w:txbxContent>
                  <w:p>
                    <w:pPr>
                      <w:spacing w:before="67"/>
                      <w:ind w:left="4" w:right="0" w:firstLine="0"/>
                      <w:jc w:val="center"/>
                      <w:rPr>
                        <w:sz w:val="32"/>
                      </w:rPr>
                    </w:pPr>
                    <w:r>
                      <w:rPr>
                        <w:w w:val="100"/>
                        <w:sz w:val="32"/>
                      </w:rPr>
                      <w:t>Y</w:t>
                    </w:r>
                  </w:p>
                </w:txbxContent>
              </v:textbox>
              <v:stroke dashstyle="solid"/>
              <w10:wrap type="none"/>
            </v:shape>
            <v:shape style="position:absolute;left:3663;top:4456;width:850;height:481" type="#_x0000_t202" filled="false" stroked="true" strokeweight=".75pt" strokecolor="#000000">
              <v:textbox inset="0,0,0,0">
                <w:txbxContent>
                  <w:p>
                    <w:pPr>
                      <w:spacing w:before="71"/>
                      <w:ind w:left="252" w:right="0" w:firstLine="0"/>
                      <w:jc w:val="left"/>
                      <w:rPr>
                        <w:sz w:val="32"/>
                      </w:rPr>
                    </w:pPr>
                    <w:r>
                      <w:rPr>
                        <w:sz w:val="32"/>
                      </w:rPr>
                      <w:t>X</w:t>
                    </w:r>
                    <w:r>
                      <w:rPr>
                        <w:sz w:val="32"/>
                        <w:vertAlign w:val="subscript"/>
                      </w:rPr>
                      <w:t>1</w:t>
                    </w:r>
                  </w:p>
                </w:txbxContent>
              </v:textbox>
              <v:stroke dashstyle="solid"/>
              <w10:wrap type="none"/>
            </v:shape>
            <w10:wrap type="topAndBottom"/>
          </v:group>
        </w:pict>
      </w:r>
      <w:r>
        <w:rPr/>
        <w:t>Analisis regresi berganda adalah pengembangan regresi sederhana. Jika variabel independen setidaknya dua atau </w:t>
      </w:r>
      <w:r>
        <w:rPr>
          <w:spacing w:val="-3"/>
        </w:rPr>
        <w:t>lebih, </w:t>
      </w:r>
      <w:r>
        <w:rPr/>
        <w:t>perannya adalah untuk memprediksi nilai variabel dependen (Y). Analisis regresi berganda adalah analisis yang memprediksi nilai pengaruh dua atau </w:t>
      </w:r>
      <w:r>
        <w:rPr>
          <w:spacing w:val="-3"/>
        </w:rPr>
        <w:t>lebih </w:t>
      </w:r>
      <w:r>
        <w:rPr/>
        <w:t>variabel independen terhadap variabel dependen untuk membuktikan apakah ada hubungan fungsional atau hubungan kausal antara dua atau </w:t>
      </w:r>
      <w:r>
        <w:rPr>
          <w:spacing w:val="-3"/>
        </w:rPr>
        <w:t>lebih </w:t>
      </w:r>
      <w:r>
        <w:rPr/>
        <w:t>variabel independen dan variabel dependen (Riduwan, 2014 :</w:t>
      </w:r>
      <w:r>
        <w:rPr>
          <w:spacing w:val="5"/>
        </w:rPr>
        <w:t> </w:t>
      </w:r>
      <w:r>
        <w:rPr/>
        <w:t>51).</w:t>
      </w:r>
    </w:p>
    <w:p>
      <w:pPr>
        <w:pStyle w:val="BodyText"/>
        <w:spacing w:before="139"/>
        <w:ind w:left="802" w:right="607"/>
        <w:jc w:val="center"/>
      </w:pPr>
      <w:r>
        <w:rPr/>
        <w:t>Gambar 3.1 Struktur Regresi Berganda</w:t>
      </w:r>
    </w:p>
    <w:p>
      <w:pPr>
        <w:pStyle w:val="BodyText"/>
        <w:rPr>
          <w:sz w:val="20"/>
        </w:rPr>
      </w:pPr>
    </w:p>
    <w:p>
      <w:pPr>
        <w:pStyle w:val="BodyText"/>
        <w:spacing w:before="1"/>
        <w:rPr>
          <w:sz w:val="22"/>
        </w:rPr>
      </w:pPr>
    </w:p>
    <w:p>
      <w:pPr>
        <w:pStyle w:val="BodyText"/>
        <w:spacing w:before="90"/>
        <w:ind w:left="1436"/>
      </w:pPr>
      <w:r>
        <w:rPr/>
        <w:t>Ŷ = β0+ β1X1+ β2X2 + ε</w:t>
      </w:r>
    </w:p>
    <w:p>
      <w:pPr>
        <w:pStyle w:val="BodyText"/>
      </w:pPr>
    </w:p>
    <w:p>
      <w:pPr>
        <w:pStyle w:val="BodyText"/>
        <w:ind w:left="1436"/>
      </w:pPr>
      <w:r>
        <w:rPr/>
        <w:t>Dimana:</w:t>
      </w:r>
    </w:p>
    <w:p>
      <w:pPr>
        <w:pStyle w:val="BodyText"/>
      </w:pPr>
    </w:p>
    <w:p>
      <w:pPr>
        <w:pStyle w:val="BodyText"/>
        <w:ind w:left="1436"/>
      </w:pPr>
      <w:r>
        <w:rPr/>
        <w:t>Ŷ = Harga Saham</w:t>
      </w:r>
    </w:p>
    <w:p>
      <w:pPr>
        <w:pStyle w:val="BodyText"/>
      </w:pPr>
    </w:p>
    <w:p>
      <w:pPr>
        <w:spacing w:before="0"/>
        <w:ind w:left="1436" w:right="0" w:firstLine="0"/>
        <w:jc w:val="left"/>
        <w:rPr>
          <w:i/>
          <w:sz w:val="24"/>
        </w:rPr>
      </w:pPr>
      <w:r>
        <w:rPr>
          <w:sz w:val="24"/>
        </w:rPr>
        <w:t>X1 =  </w:t>
      </w:r>
      <w:r>
        <w:rPr>
          <w:i/>
          <w:sz w:val="24"/>
        </w:rPr>
        <w:t>Return on</w:t>
      </w:r>
      <w:r>
        <w:rPr>
          <w:i/>
          <w:spacing w:val="-10"/>
          <w:sz w:val="24"/>
        </w:rPr>
        <w:t> </w:t>
      </w:r>
      <w:r>
        <w:rPr>
          <w:i/>
          <w:sz w:val="24"/>
        </w:rPr>
        <w:t>Assets</w:t>
      </w:r>
    </w:p>
    <w:p>
      <w:pPr>
        <w:pStyle w:val="BodyText"/>
        <w:spacing w:before="1"/>
        <w:rPr>
          <w:i/>
        </w:rPr>
      </w:pPr>
    </w:p>
    <w:p>
      <w:pPr>
        <w:spacing w:before="0"/>
        <w:ind w:left="1436" w:right="0" w:firstLine="0"/>
        <w:jc w:val="left"/>
        <w:rPr>
          <w:i/>
          <w:sz w:val="24"/>
        </w:rPr>
      </w:pPr>
      <w:r>
        <w:rPr>
          <w:sz w:val="24"/>
        </w:rPr>
        <w:t>X2  = </w:t>
      </w:r>
      <w:r>
        <w:rPr>
          <w:i/>
          <w:sz w:val="24"/>
        </w:rPr>
        <w:t>Return on</w:t>
      </w:r>
      <w:r>
        <w:rPr>
          <w:i/>
          <w:spacing w:val="-2"/>
          <w:sz w:val="24"/>
        </w:rPr>
        <w:t> </w:t>
      </w:r>
      <w:r>
        <w:rPr>
          <w:i/>
          <w:sz w:val="24"/>
        </w:rPr>
        <w:t>Equity</w:t>
      </w:r>
    </w:p>
    <w:p>
      <w:pPr>
        <w:spacing w:after="0"/>
        <w:jc w:val="left"/>
        <w:rPr>
          <w:sz w:val="24"/>
        </w:rPr>
        <w:sectPr>
          <w:pgSz w:w="11910" w:h="16840"/>
          <w:pgMar w:header="0" w:footer="998" w:top="1580" w:bottom="1180" w:left="1680" w:right="900"/>
        </w:sectPr>
      </w:pPr>
    </w:p>
    <w:p>
      <w:pPr>
        <w:pStyle w:val="BodyText"/>
        <w:rPr>
          <w:i/>
          <w:sz w:val="20"/>
        </w:rPr>
      </w:pPr>
    </w:p>
    <w:p>
      <w:pPr>
        <w:pStyle w:val="BodyText"/>
        <w:rPr>
          <w:i/>
          <w:sz w:val="20"/>
        </w:rPr>
      </w:pPr>
    </w:p>
    <w:p>
      <w:pPr>
        <w:pStyle w:val="BodyText"/>
        <w:spacing w:line="480" w:lineRule="auto" w:before="205"/>
        <w:ind w:left="1436" w:right="4448"/>
      </w:pPr>
      <w:r>
        <w:rPr/>
        <w:t>β0= intercept ( titik potong regresi ) β1-β3 = koefesien regresi</w:t>
      </w:r>
    </w:p>
    <w:p>
      <w:pPr>
        <w:pStyle w:val="BodyText"/>
        <w:ind w:left="1436"/>
      </w:pPr>
      <w:r>
        <w:rPr/>
        <w:t>ε = error ( tingkat kesalahan )</w:t>
      </w:r>
    </w:p>
    <w:p>
      <w:pPr>
        <w:pStyle w:val="BodyText"/>
        <w:spacing w:before="11"/>
        <w:rPr>
          <w:sz w:val="23"/>
        </w:rPr>
      </w:pPr>
    </w:p>
    <w:p>
      <w:pPr>
        <w:pStyle w:val="ListParagraph"/>
        <w:numPr>
          <w:ilvl w:val="2"/>
          <w:numId w:val="16"/>
        </w:numPr>
        <w:tabs>
          <w:tab w:pos="1153" w:val="left" w:leader="none"/>
        </w:tabs>
        <w:spacing w:line="240" w:lineRule="auto" w:before="0" w:after="0"/>
        <w:ind w:left="1153" w:right="0" w:hanging="567"/>
        <w:jc w:val="left"/>
        <w:rPr>
          <w:b/>
          <w:sz w:val="22"/>
        </w:rPr>
      </w:pPr>
      <w:r>
        <w:rPr>
          <w:b/>
          <w:sz w:val="22"/>
        </w:rPr>
        <w:t>Rancangan Uji</w:t>
      </w:r>
      <w:r>
        <w:rPr>
          <w:b/>
          <w:spacing w:val="-9"/>
          <w:sz w:val="22"/>
        </w:rPr>
        <w:t> </w:t>
      </w:r>
      <w:r>
        <w:rPr>
          <w:b/>
          <w:sz w:val="22"/>
        </w:rPr>
        <w:t>Hipotesis</w:t>
      </w:r>
    </w:p>
    <w:p>
      <w:pPr>
        <w:pStyle w:val="BodyText"/>
        <w:spacing w:before="3"/>
        <w:rPr>
          <w:b/>
          <w:sz w:val="22"/>
        </w:rPr>
      </w:pPr>
    </w:p>
    <w:p>
      <w:pPr>
        <w:pStyle w:val="BodyText"/>
        <w:spacing w:line="480" w:lineRule="auto" w:before="1"/>
        <w:ind w:left="586" w:right="794" w:firstLine="566"/>
      </w:pPr>
      <w:r>
        <w:rPr/>
        <w:t>Uji hipotesis dilakukan untuk memperoleh gambaran mengenai hubungan antara variabel independen dengan variabel dependen.</w:t>
      </w:r>
    </w:p>
    <w:p>
      <w:pPr>
        <w:pStyle w:val="ListParagraph"/>
        <w:numPr>
          <w:ilvl w:val="0"/>
          <w:numId w:val="18"/>
        </w:numPr>
        <w:tabs>
          <w:tab w:pos="1153" w:val="left" w:leader="none"/>
        </w:tabs>
        <w:spacing w:line="240" w:lineRule="auto" w:before="0" w:after="0"/>
        <w:ind w:left="1153" w:right="0" w:hanging="284"/>
        <w:jc w:val="left"/>
        <w:rPr>
          <w:sz w:val="24"/>
        </w:rPr>
      </w:pPr>
      <w:r>
        <w:rPr>
          <w:sz w:val="24"/>
        </w:rPr>
        <w:t>Uji statistik</w:t>
      </w:r>
      <w:r>
        <w:rPr>
          <w:spacing w:val="-2"/>
          <w:sz w:val="24"/>
        </w:rPr>
        <w:t> </w:t>
      </w:r>
      <w:r>
        <w:rPr>
          <w:sz w:val="24"/>
        </w:rPr>
        <w:t>F</w:t>
      </w:r>
    </w:p>
    <w:p>
      <w:pPr>
        <w:pStyle w:val="BodyText"/>
      </w:pPr>
    </w:p>
    <w:p>
      <w:pPr>
        <w:pStyle w:val="BodyText"/>
        <w:spacing w:line="480" w:lineRule="auto"/>
        <w:ind w:left="1153" w:right="794"/>
        <w:jc w:val="both"/>
      </w:pPr>
      <w:r>
        <w:rPr/>
        <w:t>Uji F dapat menguji pengaruh variabel dependen terhadap variabel independen, variabel umum atau variabel simultan. Standar uji F adalah sebagai berikut:</w:t>
      </w:r>
    </w:p>
    <w:p>
      <w:pPr>
        <w:pStyle w:val="ListParagraph"/>
        <w:numPr>
          <w:ilvl w:val="0"/>
          <w:numId w:val="19"/>
        </w:numPr>
        <w:tabs>
          <w:tab w:pos="1307" w:val="left" w:leader="none"/>
        </w:tabs>
        <w:spacing w:line="480" w:lineRule="auto" w:before="0" w:after="0"/>
        <w:ind w:left="1306" w:right="804" w:hanging="360"/>
        <w:jc w:val="both"/>
        <w:rPr>
          <w:sz w:val="24"/>
        </w:rPr>
      </w:pPr>
      <w:r>
        <w:rPr>
          <w:position w:val="2"/>
          <w:sz w:val="24"/>
        </w:rPr>
        <w:t>Jika F</w:t>
      </w:r>
      <w:r>
        <w:rPr>
          <w:sz w:val="16"/>
        </w:rPr>
        <w:t>-hitung </w:t>
      </w:r>
      <w:r>
        <w:rPr>
          <w:position w:val="2"/>
          <w:sz w:val="24"/>
        </w:rPr>
        <w:t>&lt;F</w:t>
      </w:r>
      <w:r>
        <w:rPr>
          <w:sz w:val="16"/>
        </w:rPr>
        <w:t>-tabel</w:t>
      </w:r>
      <w:r>
        <w:rPr>
          <w:position w:val="2"/>
          <w:sz w:val="24"/>
        </w:rPr>
        <w:t>, Ha diterima dan Ho ditolak, </w:t>
      </w:r>
      <w:r>
        <w:rPr>
          <w:spacing w:val="-3"/>
          <w:position w:val="2"/>
          <w:sz w:val="24"/>
        </w:rPr>
        <w:t>yang </w:t>
      </w:r>
      <w:r>
        <w:rPr>
          <w:position w:val="2"/>
          <w:sz w:val="24"/>
        </w:rPr>
        <w:t>berarti bahwa </w:t>
      </w:r>
      <w:r>
        <w:rPr>
          <w:sz w:val="24"/>
        </w:rPr>
        <w:t>variabel independen tidak berpengaruh pada variabel dependen pada saat yang</w:t>
      </w:r>
      <w:r>
        <w:rPr>
          <w:spacing w:val="1"/>
          <w:sz w:val="24"/>
        </w:rPr>
        <w:t> </w:t>
      </w:r>
      <w:r>
        <w:rPr>
          <w:sz w:val="24"/>
        </w:rPr>
        <w:t>sama.</w:t>
      </w:r>
    </w:p>
    <w:p>
      <w:pPr>
        <w:pStyle w:val="ListParagraph"/>
        <w:numPr>
          <w:ilvl w:val="0"/>
          <w:numId w:val="19"/>
        </w:numPr>
        <w:tabs>
          <w:tab w:pos="1307" w:val="left" w:leader="none"/>
        </w:tabs>
        <w:spacing w:line="480" w:lineRule="auto" w:before="0" w:after="0"/>
        <w:ind w:left="1306" w:right="789" w:hanging="360"/>
        <w:jc w:val="both"/>
        <w:rPr>
          <w:sz w:val="24"/>
        </w:rPr>
      </w:pPr>
      <w:r>
        <w:rPr>
          <w:position w:val="2"/>
          <w:sz w:val="24"/>
        </w:rPr>
        <w:t>Jika F</w:t>
      </w:r>
      <w:r>
        <w:rPr>
          <w:sz w:val="16"/>
        </w:rPr>
        <w:t>hitun</w:t>
      </w:r>
      <w:r>
        <w:rPr>
          <w:position w:val="2"/>
          <w:sz w:val="24"/>
        </w:rPr>
        <w:t>g&gt; F</w:t>
      </w:r>
      <w:r>
        <w:rPr>
          <w:sz w:val="16"/>
        </w:rPr>
        <w:t>tabel</w:t>
      </w:r>
      <w:r>
        <w:rPr>
          <w:position w:val="2"/>
          <w:sz w:val="24"/>
        </w:rPr>
        <w:t>, Ho diterima dan Ha ditolak, yang berarti bahwa variabel </w:t>
      </w:r>
      <w:r>
        <w:rPr>
          <w:sz w:val="24"/>
        </w:rPr>
        <w:t>independen juga mempengaruhi variabel dependen. Uji F hanya dapat diselesaikan dengan melihat nilai signifikansi F </w:t>
      </w:r>
      <w:r>
        <w:rPr>
          <w:spacing w:val="-3"/>
          <w:sz w:val="24"/>
        </w:rPr>
        <w:t>yang </w:t>
      </w:r>
      <w:r>
        <w:rPr>
          <w:sz w:val="24"/>
        </w:rPr>
        <w:t>termasuk dalam output dari hasil analisis regresi. Jika nilai signifikansi F kurang dari α (0,05), dapat dikatakan bahwa variabel independen juga memiliki pengaruh signifikan terhadap variabel</w:t>
      </w:r>
      <w:r>
        <w:rPr>
          <w:spacing w:val="-8"/>
          <w:sz w:val="24"/>
        </w:rPr>
        <w:t> </w:t>
      </w:r>
      <w:r>
        <w:rPr>
          <w:sz w:val="24"/>
        </w:rPr>
        <w:t>dependen..</w:t>
      </w:r>
    </w:p>
    <w:p>
      <w:pPr>
        <w:pStyle w:val="ListParagraph"/>
        <w:numPr>
          <w:ilvl w:val="0"/>
          <w:numId w:val="18"/>
        </w:numPr>
        <w:tabs>
          <w:tab w:pos="1153" w:val="left" w:leader="none"/>
        </w:tabs>
        <w:spacing w:line="275" w:lineRule="exact" w:before="0" w:after="0"/>
        <w:ind w:left="1153" w:right="0" w:hanging="284"/>
        <w:jc w:val="left"/>
        <w:rPr>
          <w:sz w:val="24"/>
        </w:rPr>
      </w:pPr>
      <w:r>
        <w:rPr>
          <w:sz w:val="24"/>
        </w:rPr>
        <w:t>Uji statistik</w:t>
      </w:r>
      <w:r>
        <w:rPr>
          <w:spacing w:val="-2"/>
          <w:sz w:val="24"/>
        </w:rPr>
        <w:t> </w:t>
      </w:r>
      <w:r>
        <w:rPr>
          <w:sz w:val="24"/>
        </w:rPr>
        <w:t>T</w:t>
      </w:r>
    </w:p>
    <w:p>
      <w:pPr>
        <w:pStyle w:val="BodyText"/>
        <w:spacing w:before="9"/>
        <w:rPr>
          <w:sz w:val="23"/>
        </w:rPr>
      </w:pPr>
    </w:p>
    <w:p>
      <w:pPr>
        <w:pStyle w:val="BodyText"/>
        <w:spacing w:line="480" w:lineRule="auto"/>
        <w:ind w:left="1153" w:right="804"/>
        <w:jc w:val="both"/>
      </w:pPr>
      <w:r>
        <w:rPr/>
        <w:t>Uji T digunakan untuk menguji pengaruh variabel independen persisten terhadap variabel dependen. Standar uji T adalah sebagai berikut:</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ListParagraph"/>
        <w:numPr>
          <w:ilvl w:val="0"/>
          <w:numId w:val="20"/>
        </w:numPr>
        <w:tabs>
          <w:tab w:pos="1307" w:val="left" w:leader="none"/>
        </w:tabs>
        <w:spacing w:line="477" w:lineRule="auto" w:before="204" w:after="0"/>
        <w:ind w:left="1306" w:right="800" w:hanging="360"/>
        <w:jc w:val="both"/>
        <w:rPr>
          <w:sz w:val="24"/>
        </w:rPr>
      </w:pPr>
      <w:r>
        <w:rPr>
          <w:position w:val="2"/>
          <w:sz w:val="24"/>
        </w:rPr>
        <w:t>Jika t</w:t>
      </w:r>
      <w:r>
        <w:rPr>
          <w:sz w:val="16"/>
        </w:rPr>
        <w:t>-hitung </w:t>
      </w:r>
      <w:r>
        <w:rPr>
          <w:position w:val="2"/>
          <w:sz w:val="24"/>
        </w:rPr>
        <w:t>&lt;t</w:t>
      </w:r>
      <w:r>
        <w:rPr>
          <w:sz w:val="16"/>
        </w:rPr>
        <w:t>-tabel</w:t>
      </w:r>
      <w:r>
        <w:rPr>
          <w:position w:val="2"/>
          <w:sz w:val="24"/>
        </w:rPr>
        <w:t>, tolak Ho dan terima Ha, yang berarti bahwa bagian </w:t>
      </w:r>
      <w:r>
        <w:rPr>
          <w:sz w:val="24"/>
        </w:rPr>
        <w:t>antara variabel independen tidak akan mempengaruhi variabel</w:t>
      </w:r>
      <w:r>
        <w:rPr>
          <w:spacing w:val="-26"/>
          <w:sz w:val="24"/>
        </w:rPr>
        <w:t> </w:t>
      </w:r>
      <w:r>
        <w:rPr>
          <w:sz w:val="24"/>
        </w:rPr>
        <w:t>dependen.</w:t>
      </w:r>
    </w:p>
    <w:p>
      <w:pPr>
        <w:pStyle w:val="ListParagraph"/>
        <w:numPr>
          <w:ilvl w:val="0"/>
          <w:numId w:val="20"/>
        </w:numPr>
        <w:tabs>
          <w:tab w:pos="1307" w:val="left" w:leader="none"/>
        </w:tabs>
        <w:spacing w:line="480" w:lineRule="auto" w:before="3" w:after="0"/>
        <w:ind w:left="1306" w:right="797" w:hanging="360"/>
        <w:jc w:val="both"/>
        <w:rPr>
          <w:sz w:val="24"/>
        </w:rPr>
      </w:pPr>
      <w:r>
        <w:rPr>
          <w:position w:val="2"/>
          <w:sz w:val="24"/>
        </w:rPr>
        <w:t>Jika t</w:t>
      </w:r>
      <w:r>
        <w:rPr>
          <w:sz w:val="16"/>
        </w:rPr>
        <w:t>-hitung</w:t>
      </w:r>
      <w:r>
        <w:rPr>
          <w:position w:val="2"/>
          <w:sz w:val="24"/>
        </w:rPr>
        <w:t>&gt; t</w:t>
      </w:r>
      <w:r>
        <w:rPr>
          <w:sz w:val="16"/>
        </w:rPr>
        <w:t>-tabel</w:t>
      </w:r>
      <w:r>
        <w:rPr>
          <w:position w:val="2"/>
          <w:sz w:val="24"/>
        </w:rPr>
        <w:t>, Ha ditolak dan Ho diterima, yang berarti bahwa variabel </w:t>
      </w:r>
      <w:r>
        <w:rPr>
          <w:sz w:val="24"/>
        </w:rPr>
        <w:t>dependen secara parsial mempengaruhi variabel dependen. Uji T hanya dapat dilakukan dengan melihat nilai signifikansi dari setiap variabel yang termasuk dalam output dari hasil analisis regresi. Jika nilai signifikansi t kurang dari α (0,05), dapat dikatakan bahwa variabel independen memiliki pengaruh signifikan terhadap variabel</w:t>
      </w:r>
      <w:r>
        <w:rPr>
          <w:spacing w:val="-8"/>
          <w:sz w:val="24"/>
        </w:rPr>
        <w:t> </w:t>
      </w:r>
      <w:r>
        <w:rPr>
          <w:sz w:val="24"/>
        </w:rPr>
        <w:t>dependen..</w:t>
      </w:r>
    </w:p>
    <w:p>
      <w:pPr>
        <w:pStyle w:val="ListParagraph"/>
        <w:numPr>
          <w:ilvl w:val="0"/>
          <w:numId w:val="18"/>
        </w:numPr>
        <w:tabs>
          <w:tab w:pos="1153" w:val="left" w:leader="none"/>
        </w:tabs>
        <w:spacing w:line="275" w:lineRule="exact" w:before="0" w:after="0"/>
        <w:ind w:left="1153" w:right="0" w:hanging="284"/>
        <w:jc w:val="left"/>
        <w:rPr>
          <w:sz w:val="24"/>
        </w:rPr>
      </w:pPr>
      <w:r>
        <w:rPr>
          <w:sz w:val="24"/>
        </w:rPr>
        <w:t>Uji koefesien determinasi</w:t>
      </w:r>
      <w:r>
        <w:rPr>
          <w:spacing w:val="-17"/>
          <w:sz w:val="24"/>
        </w:rPr>
        <w:t> </w:t>
      </w:r>
      <w:r>
        <w:rPr>
          <w:sz w:val="24"/>
        </w:rPr>
        <w:t>(R</w:t>
      </w:r>
      <w:r>
        <w:rPr>
          <w:sz w:val="24"/>
          <w:vertAlign w:val="superscript"/>
        </w:rPr>
        <w:t>2</w:t>
      </w:r>
      <w:r>
        <w:rPr>
          <w:sz w:val="24"/>
          <w:vertAlign w:val="baseline"/>
        </w:rPr>
        <w:t>)</w:t>
      </w:r>
    </w:p>
    <w:p>
      <w:pPr>
        <w:pStyle w:val="BodyText"/>
      </w:pPr>
    </w:p>
    <w:p>
      <w:pPr>
        <w:pStyle w:val="BodyText"/>
        <w:spacing w:line="480" w:lineRule="auto"/>
        <w:ind w:left="869" w:right="795" w:firstLine="283"/>
        <w:jc w:val="both"/>
      </w:pPr>
      <w:r>
        <w:rPr/>
        <w:t>Uji koefisien determinasi (R2) untuk menentukan penerapan hubungan antara variabel independen dan dependen dalam persamaan regresi. Koefisien determinasi menunjukkan besarnya pengaruh variabel independen dan dependen, atau digunakan untuk memeriksa kedekatan hubungan antar variabel.</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Heading2"/>
        <w:spacing w:before="206"/>
        <w:ind w:left="802" w:right="1010"/>
      </w:pPr>
      <w:r>
        <w:rPr/>
        <w:t>BAB IV</w:t>
      </w:r>
    </w:p>
    <w:p>
      <w:pPr>
        <w:pStyle w:val="BodyText"/>
        <w:spacing w:before="4"/>
        <w:rPr>
          <w:b/>
          <w:sz w:val="28"/>
        </w:rPr>
      </w:pPr>
    </w:p>
    <w:p>
      <w:pPr>
        <w:spacing w:before="0"/>
        <w:ind w:left="801" w:right="1014" w:firstLine="0"/>
        <w:jc w:val="center"/>
        <w:rPr>
          <w:b/>
          <w:sz w:val="28"/>
        </w:rPr>
      </w:pPr>
      <w:r>
        <w:rPr>
          <w:b/>
          <w:sz w:val="28"/>
        </w:rPr>
        <w:t>HASIL PENELITIAN DAN PEMBAHSAN</w:t>
      </w:r>
    </w:p>
    <w:p>
      <w:pPr>
        <w:pStyle w:val="BodyText"/>
        <w:spacing w:before="3"/>
        <w:rPr>
          <w:b/>
          <w:sz w:val="28"/>
        </w:rPr>
      </w:pPr>
    </w:p>
    <w:p>
      <w:pPr>
        <w:pStyle w:val="Heading3"/>
        <w:numPr>
          <w:ilvl w:val="1"/>
          <w:numId w:val="21"/>
        </w:numPr>
        <w:tabs>
          <w:tab w:pos="1152" w:val="left" w:leader="none"/>
          <w:tab w:pos="1153" w:val="left" w:leader="none"/>
        </w:tabs>
        <w:spacing w:line="240" w:lineRule="auto" w:before="0" w:after="0"/>
        <w:ind w:left="1153" w:right="0" w:hanging="567"/>
        <w:jc w:val="left"/>
      </w:pPr>
      <w:r>
        <w:rPr/>
        <w:t>Gambaran Umum Perusahaan</w:t>
      </w:r>
    </w:p>
    <w:p>
      <w:pPr>
        <w:pStyle w:val="BodyText"/>
        <w:rPr>
          <w:b/>
        </w:rPr>
      </w:pPr>
    </w:p>
    <w:p>
      <w:pPr>
        <w:pStyle w:val="ListParagraph"/>
        <w:numPr>
          <w:ilvl w:val="2"/>
          <w:numId w:val="21"/>
        </w:numPr>
        <w:tabs>
          <w:tab w:pos="1153" w:val="left" w:leader="none"/>
        </w:tabs>
        <w:spacing w:line="240" w:lineRule="auto" w:before="0" w:after="0"/>
        <w:ind w:left="1153" w:right="0" w:hanging="567"/>
        <w:jc w:val="left"/>
        <w:rPr>
          <w:b/>
          <w:sz w:val="24"/>
        </w:rPr>
      </w:pPr>
      <w:r>
        <w:rPr>
          <w:b/>
          <w:sz w:val="24"/>
        </w:rPr>
        <w:t>Perusahaan Sub Sektor Semen Yang Terdaftar di </w:t>
      </w:r>
      <w:r>
        <w:rPr>
          <w:b/>
          <w:spacing w:val="-3"/>
          <w:sz w:val="24"/>
        </w:rPr>
        <w:t>Bursa </w:t>
      </w:r>
      <w:r>
        <w:rPr>
          <w:b/>
          <w:sz w:val="24"/>
        </w:rPr>
        <w:t>Efek</w:t>
      </w:r>
      <w:r>
        <w:rPr>
          <w:b/>
          <w:spacing w:val="2"/>
          <w:sz w:val="24"/>
        </w:rPr>
        <w:t> </w:t>
      </w:r>
      <w:r>
        <w:rPr>
          <w:b/>
          <w:sz w:val="24"/>
        </w:rPr>
        <w:t>Indonesia</w:t>
      </w:r>
    </w:p>
    <w:p>
      <w:pPr>
        <w:pStyle w:val="BodyText"/>
        <w:spacing w:before="7"/>
        <w:rPr>
          <w:b/>
          <w:sz w:val="23"/>
        </w:rPr>
      </w:pPr>
    </w:p>
    <w:p>
      <w:pPr>
        <w:pStyle w:val="ListParagraph"/>
        <w:numPr>
          <w:ilvl w:val="0"/>
          <w:numId w:val="22"/>
        </w:numPr>
        <w:tabs>
          <w:tab w:pos="1152" w:val="left" w:leader="none"/>
          <w:tab w:pos="1153" w:val="left" w:leader="none"/>
        </w:tabs>
        <w:spacing w:line="240" w:lineRule="auto" w:before="0" w:after="0"/>
        <w:ind w:left="1153" w:right="0" w:hanging="567"/>
        <w:jc w:val="left"/>
        <w:rPr>
          <w:sz w:val="24"/>
        </w:rPr>
      </w:pPr>
      <w:r>
        <w:rPr>
          <w:sz w:val="24"/>
        </w:rPr>
        <w:t>PT. Indocement Tunggal Prakarsa</w:t>
      </w:r>
      <w:r>
        <w:rPr>
          <w:spacing w:val="-2"/>
          <w:sz w:val="24"/>
        </w:rPr>
        <w:t> </w:t>
      </w:r>
      <w:r>
        <w:rPr>
          <w:sz w:val="24"/>
        </w:rPr>
        <w:t>Tbk</w:t>
      </w:r>
    </w:p>
    <w:p>
      <w:pPr>
        <w:pStyle w:val="BodyText"/>
      </w:pPr>
    </w:p>
    <w:p>
      <w:pPr>
        <w:pStyle w:val="BodyText"/>
        <w:spacing w:line="480" w:lineRule="auto"/>
        <w:ind w:left="586" w:right="790" w:firstLine="566"/>
        <w:jc w:val="both"/>
      </w:pPr>
      <w:r>
        <w:rPr/>
        <w:t>Pada 16 Januari 1985, sesuai dengan Akta Bangunan No. 227 </w:t>
      </w:r>
      <w:r>
        <w:rPr>
          <w:spacing w:val="-3"/>
        </w:rPr>
        <w:t>yang </w:t>
      </w:r>
      <w:r>
        <w:rPr/>
        <w:t>disetujui oleh Menteri Kehakiman Indonesia, Notaris Publik Jakarta Ridwan Suselo mendirikan bank notaris di Shanghai, dan pengembangan perusahaan berlanjut pada 16 Januari 1985. PT Indocement diciptakan oleh Tunggal Prakarsa. Pemerintah Republik Indonesia mengeluarkan Keputusan No. C2- 2876HT.01.01.Th.85 pada tanggal 17 Mei 1985, dan mengumumkan Keputusan tersebut dalam Lembaran Negara No. 57 dan 946 Republik Indonesia pada  tanggal 16 Juli 1985. Dokumen PT Tunggal Prakarsa dibuat untuk menggabungkan enam perusahaan ini </w:t>
      </w:r>
      <w:r>
        <w:rPr>
          <w:spacing w:val="2"/>
        </w:rPr>
        <w:t>dan </w:t>
      </w:r>
      <w:r>
        <w:rPr/>
        <w:t>mengelola serta mengoperasikan delapan pabrik dalam organisasi manajemen yang komprehensif. Selain itu, </w:t>
      </w:r>
      <w:r>
        <w:rPr>
          <w:spacing w:val="4"/>
        </w:rPr>
        <w:t>di </w:t>
      </w:r>
      <w:r>
        <w:rPr/>
        <w:t>hadapan notaris di Jakarta, Indonesia, Benny Kristianto (SH), 81 notaris digunakan sebagai peluang untuk mendirikan Indocement. Dokumen ini telah disetujui oleh Keputusan Menteri Kehakiman Republik Indonesia No. Pada 15 Juni 1985, pada 01.04.T.85, ditetapkan bahwa Indocement telah mengakuisisi semua saham yang dimiliki oleh enam perusahaan yang berbeda dengan menerbitkan sahamnya sendiri. Pada tahun 1989, PT Indocement Tunggal Prakarsa melakukan penawaran umum perdana dan menjadi perusahaan publik, dan menamakannya PT Indocement Tunggal Prakarsa Tbk. Perusahaan</w:t>
      </w:r>
      <w:r>
        <w:rPr>
          <w:spacing w:val="28"/>
        </w:rPr>
        <w:t> </w:t>
      </w:r>
      <w:r>
        <w:rPr/>
        <w:t>ini</w:t>
      </w:r>
    </w:p>
    <w:p>
      <w:pPr>
        <w:spacing w:after="0" w:line="480" w:lineRule="auto"/>
        <w:jc w:val="both"/>
        <w:sectPr>
          <w:footerReference w:type="default" r:id="rId19"/>
          <w:pgSz w:w="11910" w:h="16840"/>
          <w:pgMar w:footer="0" w:header="0" w:top="1580" w:bottom="280" w:left="1680" w:right="900"/>
        </w:sectPr>
      </w:pPr>
    </w:p>
    <w:p>
      <w:pPr>
        <w:pStyle w:val="BodyText"/>
        <w:rPr>
          <w:sz w:val="20"/>
        </w:rPr>
      </w:pPr>
    </w:p>
    <w:p>
      <w:pPr>
        <w:pStyle w:val="BodyText"/>
        <w:rPr>
          <w:sz w:val="20"/>
        </w:rPr>
      </w:pPr>
    </w:p>
    <w:p>
      <w:pPr>
        <w:pStyle w:val="BodyText"/>
        <w:spacing w:line="480" w:lineRule="auto" w:before="205"/>
        <w:ind w:left="586" w:right="807"/>
        <w:jc w:val="both"/>
      </w:pPr>
      <w:r>
        <w:rPr/>
        <w:t>pertama kali terdaftar di Bursa Efek Indonesia (BEI) pada 5 Desember 1989 dengan simbol ticker INTP. Kantor pusat perusahaan berlokasi di Jl. Wisma Indocement terletak di lantai 13. Jenderal Sudirman, Kav. 70-71 Jakarta Selatan.</w:t>
      </w:r>
    </w:p>
    <w:p>
      <w:pPr>
        <w:pStyle w:val="ListParagraph"/>
        <w:numPr>
          <w:ilvl w:val="0"/>
          <w:numId w:val="22"/>
        </w:numPr>
        <w:tabs>
          <w:tab w:pos="1153" w:val="left" w:leader="none"/>
        </w:tabs>
        <w:spacing w:line="240" w:lineRule="auto" w:before="0" w:after="0"/>
        <w:ind w:left="1153" w:right="0" w:hanging="567"/>
        <w:jc w:val="both"/>
        <w:rPr>
          <w:sz w:val="24"/>
        </w:rPr>
      </w:pPr>
      <w:r>
        <w:rPr>
          <w:sz w:val="24"/>
        </w:rPr>
        <w:t>PT. Semen Indonesia</w:t>
      </w:r>
      <w:r>
        <w:rPr>
          <w:spacing w:val="-4"/>
          <w:sz w:val="24"/>
        </w:rPr>
        <w:t> </w:t>
      </w:r>
      <w:r>
        <w:rPr>
          <w:sz w:val="24"/>
        </w:rPr>
        <w:t>Tbk</w:t>
      </w:r>
    </w:p>
    <w:p>
      <w:pPr>
        <w:pStyle w:val="BodyText"/>
      </w:pPr>
    </w:p>
    <w:p>
      <w:pPr>
        <w:pStyle w:val="BodyText"/>
        <w:spacing w:line="480" w:lineRule="auto"/>
        <w:ind w:left="586" w:right="792" w:firstLine="566"/>
        <w:jc w:val="both"/>
      </w:pPr>
      <w:r>
        <w:rPr/>
        <w:t>PT Semen Indonesia (Persero) Tbk, sebelumnya dikenal sebagai PT Semen Gresik (Persero) Tbk, adalah perusahaan yang bergerak di industri semen. Pada 7 Agustus 1957, presiden pertama Indonesia mengadakan upacara pelantikan </w:t>
      </w:r>
      <w:r>
        <w:rPr>
          <w:spacing w:val="4"/>
        </w:rPr>
        <w:t>di </w:t>
      </w:r>
      <w:r>
        <w:rPr/>
        <w:t>Gresik, dan memasang 250.000 ton semen setiap tahun. Pada 8 Juli 1991, saham PT Semen Indonesia (Persero) Tbk go public. Perusahaan ini masih terdaftar di Bursa Efek Jakarta dan Bursa Efek Surabaya (sekarang Bursa Efek Indonesia) dengan nama PT Semen Gresik, dan merupakan perusahaan milik negara pertama yang terdaftar dengan menjual 40 juta saham kepada publik. Pada bulan September 1995, perusahaan melakukan penawaran umum perdana, mengubah komposisi ekuitasnya menjadi 65% dari Republik Indonesia dan 35% dari saham publik. Pada tanggal 15 September 1995, PT Semen Gresik bergabung dengan PT Semen Padang dan PT Semen Tonasa. Pada saat itu, total kapasitas terpasang perusahaan adalah 8,5 juta ton </w:t>
      </w:r>
      <w:r>
        <w:rPr>
          <w:spacing w:val="-3"/>
        </w:rPr>
        <w:t>semen </w:t>
      </w:r>
      <w:r>
        <w:rPr/>
        <w:t>per tahun. Pada 17 September 1998, Republik Indonesia menyerahkan 14% kepemilikan perusahaan B melalui penawaran publik ke Cemex S. </w:t>
      </w:r>
      <w:r>
        <w:rPr>
          <w:spacing w:val="-3"/>
        </w:rPr>
        <w:t>A. </w:t>
      </w:r>
      <w:r>
        <w:rPr/>
        <w:t>de C. V., sebuah perusahaan semen global yang berkantor pusat di Meksiko. PT Semen Indonesia (Persero) Tbk. Perusahaan ini adalah produsen semen terbesar di Indonesia dan terdaftar sebagai perusahaan multinasional pertama di Indonesia, yang memiliki anak perusahaan di luar  negeri. Sampai saat </w:t>
      </w:r>
      <w:r>
        <w:rPr>
          <w:spacing w:val="-4"/>
        </w:rPr>
        <w:t>ini, </w:t>
      </w:r>
      <w:r>
        <w:rPr/>
        <w:t>anak perusahaan telah menerapkan</w:t>
      </w:r>
      <w:r>
        <w:rPr>
          <w:spacing w:val="40"/>
        </w:rPr>
        <w:t> </w:t>
      </w:r>
      <w:r>
        <w:rPr/>
        <w:t>rencana</w:t>
      </w:r>
    </w:p>
    <w:p>
      <w:pPr>
        <w:spacing w:after="0" w:line="480" w:lineRule="auto"/>
        <w:jc w:val="both"/>
        <w:sectPr>
          <w:footerReference w:type="default" r:id="rId20"/>
          <w:pgSz w:w="11910" w:h="16840"/>
          <w:pgMar w:footer="998" w:header="0" w:top="1580" w:bottom="1180" w:left="1680" w:right="900"/>
          <w:pgNumType w:start="36"/>
        </w:sectPr>
      </w:pPr>
    </w:p>
    <w:p>
      <w:pPr>
        <w:pStyle w:val="BodyText"/>
        <w:rPr>
          <w:sz w:val="20"/>
        </w:rPr>
      </w:pPr>
    </w:p>
    <w:p>
      <w:pPr>
        <w:pStyle w:val="BodyText"/>
        <w:rPr>
          <w:sz w:val="20"/>
        </w:rPr>
      </w:pPr>
    </w:p>
    <w:p>
      <w:pPr>
        <w:pStyle w:val="BodyText"/>
        <w:spacing w:line="480" w:lineRule="auto" w:before="205"/>
        <w:ind w:left="586" w:right="798"/>
        <w:jc w:val="both"/>
      </w:pPr>
      <w:r>
        <w:rPr/>
        <w:t>pengembangan bisnis untuk mengkonsolidasikan posisinya di pasar dan memberikan dukungan kepada negara. Mengembangkan pertumbuhan ekonomi dan meningkatkan kesejahteraan para pemangku kepentingan.</w:t>
      </w:r>
    </w:p>
    <w:p>
      <w:pPr>
        <w:pStyle w:val="ListParagraph"/>
        <w:numPr>
          <w:ilvl w:val="0"/>
          <w:numId w:val="22"/>
        </w:numPr>
        <w:tabs>
          <w:tab w:pos="1153" w:val="left" w:leader="none"/>
        </w:tabs>
        <w:spacing w:line="240" w:lineRule="auto" w:before="0" w:after="0"/>
        <w:ind w:left="1153" w:right="0" w:hanging="567"/>
        <w:jc w:val="both"/>
        <w:rPr>
          <w:sz w:val="24"/>
        </w:rPr>
      </w:pPr>
      <w:r>
        <w:rPr>
          <w:sz w:val="24"/>
        </w:rPr>
        <w:t>PT. </w:t>
      </w:r>
      <w:r>
        <w:rPr>
          <w:spacing w:val="-3"/>
          <w:sz w:val="24"/>
        </w:rPr>
        <w:t>Wijaya </w:t>
      </w:r>
      <w:r>
        <w:rPr>
          <w:sz w:val="24"/>
        </w:rPr>
        <w:t>Karya Beton</w:t>
      </w:r>
      <w:r>
        <w:rPr>
          <w:spacing w:val="6"/>
          <w:sz w:val="24"/>
        </w:rPr>
        <w:t> </w:t>
      </w:r>
      <w:r>
        <w:rPr>
          <w:sz w:val="24"/>
        </w:rPr>
        <w:t>Tbk</w:t>
      </w:r>
    </w:p>
    <w:p>
      <w:pPr>
        <w:pStyle w:val="BodyText"/>
      </w:pPr>
    </w:p>
    <w:p>
      <w:pPr>
        <w:pStyle w:val="BodyText"/>
        <w:spacing w:line="480" w:lineRule="auto"/>
        <w:ind w:left="586" w:right="793" w:firstLine="566"/>
        <w:jc w:val="both"/>
      </w:pPr>
      <w:r>
        <w:rPr/>
        <w:t>WIKA dimulai sebagai subkontraktor dan berkembang menjadi kontraktor untuk memasang jaringan listrik bertegangan rendah, menengah dan bertegangan tinggi pada akhir 1960-an. Pada awal 1970-an, WIKA memperluas bisnisnya dan menjadi kontraktor sipil dan perusahaan konstruksi perumahan. Perusahaan memasuki fase baru pada 20 Desember 1972. Melalui kontrak No. 110 yang dibuat sebelum notaris Djojo Muljadi, status perusahaan diubah menjadi Wijaya Karya (Persero) Co., Ltd. WIKA selalu membuat terobosan. Melalui pengembangan banyak anak perusahaan, telah berkembang menjadi perusahaan infrastruktur </w:t>
      </w:r>
      <w:r>
        <w:rPr>
          <w:spacing w:val="-3"/>
        </w:rPr>
        <w:t>yang </w:t>
      </w:r>
      <w:r>
        <w:rPr/>
        <w:t>komprehensif. Ini termasuk WIKA Beton, WIKA Intrade dan WIKA Realty. Dapatkan dana baru melalui IPO untuk mendukung pertumbuhan dan inovasi WIKA. Posisi WIKA semakin kuat dan kuat, Pada saat </w:t>
      </w:r>
      <w:r>
        <w:rPr>
          <w:spacing w:val="-3"/>
        </w:rPr>
        <w:t>ini, </w:t>
      </w:r>
      <w:r>
        <w:rPr/>
        <w:t>krisis ekonomi dunia mulai berdampak di dalam negeri. Struktur modal </w:t>
      </w:r>
      <w:r>
        <w:rPr>
          <w:spacing w:val="-3"/>
        </w:rPr>
        <w:t>yang  </w:t>
      </w:r>
      <w:r>
        <w:rPr/>
        <w:t>kuat sangat mendukung ekspansi WIKA di luar negeri dan terus mengembangkan pengadaan dan konstruksi teknik (EPC) dan investasi dan pengembangan banyak proyek infrastruktur, terutama yang menjadi rencana pemerintah terkait dengan anggaran nasional (APBN) dan Anggaran Daerah</w:t>
      </w:r>
      <w:r>
        <w:rPr>
          <w:spacing w:val="-4"/>
        </w:rPr>
        <w:t> </w:t>
      </w:r>
      <w:r>
        <w:rPr/>
        <w:t>(APBD).</w:t>
      </w:r>
    </w:p>
    <w:p>
      <w:pPr>
        <w:pStyle w:val="ListParagraph"/>
        <w:numPr>
          <w:ilvl w:val="0"/>
          <w:numId w:val="22"/>
        </w:numPr>
        <w:tabs>
          <w:tab w:pos="1153" w:val="left" w:leader="none"/>
        </w:tabs>
        <w:spacing w:line="240" w:lineRule="auto" w:before="3" w:after="0"/>
        <w:ind w:left="1153" w:right="0" w:hanging="567"/>
        <w:jc w:val="both"/>
        <w:rPr>
          <w:sz w:val="24"/>
        </w:rPr>
      </w:pPr>
      <w:r>
        <w:rPr>
          <w:sz w:val="24"/>
        </w:rPr>
        <w:t>PT. Semen Baturaja</w:t>
      </w:r>
      <w:r>
        <w:rPr>
          <w:spacing w:val="-4"/>
          <w:sz w:val="24"/>
        </w:rPr>
        <w:t> </w:t>
      </w:r>
      <w:r>
        <w:rPr>
          <w:sz w:val="24"/>
        </w:rPr>
        <w:t>Tbk</w:t>
      </w:r>
    </w:p>
    <w:p>
      <w:pPr>
        <w:pStyle w:val="BodyText"/>
      </w:pPr>
    </w:p>
    <w:p>
      <w:pPr>
        <w:pStyle w:val="BodyText"/>
        <w:spacing w:line="480" w:lineRule="auto"/>
        <w:ind w:left="586" w:right="809" w:firstLine="566"/>
        <w:jc w:val="both"/>
      </w:pPr>
      <w:r>
        <w:rPr/>
        <w:t>Ketika didirikan pada 14 November 1974, nama perusahaan adalah PT Semen Baturaja (Persero), dan PT Semen Gresik dan PT Semen Padang</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3"/>
        <w:jc w:val="both"/>
      </w:pPr>
      <w:r>
        <w:rPr/>
        <w:t>memegang 55% hingga 45% saham. Lima tahun kemudian, pada 9 November 1979, perusahaan berubah dari investasi domestik (PMDN) menjadi Persero, pemerintah Republik Indonesia, dengan PT Semen Padang memegang 7% dan PT Semen Gresik memegang 88%, penurunan 5%. Beberapa tahun kemudian, pada tahun 1991, Pemerintah Republik Indonesia sepenuhnya mengakuisisi saham perusahaan. </w:t>
      </w:r>
      <w:r>
        <w:rPr>
          <w:spacing w:val="-3"/>
        </w:rPr>
        <w:t>Selain </w:t>
      </w:r>
      <w:r>
        <w:rPr/>
        <w:t>itu, perusahaan terus berkembang, sehingga PT Semen Baturaja (Persero) diubah menjadi perusahaan publik pada 14 Maret 2013, dan berganti nama menjadi PT Semen Baturaja (Persero)</w:t>
      </w:r>
      <w:r>
        <w:rPr>
          <w:spacing w:val="-6"/>
        </w:rPr>
        <w:t> </w:t>
      </w:r>
      <w:r>
        <w:rPr/>
        <w:t>Tbk.</w:t>
      </w:r>
    </w:p>
    <w:p>
      <w:pPr>
        <w:pStyle w:val="ListParagraph"/>
        <w:numPr>
          <w:ilvl w:val="0"/>
          <w:numId w:val="22"/>
        </w:numPr>
        <w:tabs>
          <w:tab w:pos="1153" w:val="left" w:leader="none"/>
        </w:tabs>
        <w:spacing w:line="240" w:lineRule="auto" w:before="1" w:after="0"/>
        <w:ind w:left="1153" w:right="0" w:hanging="567"/>
        <w:jc w:val="both"/>
        <w:rPr>
          <w:sz w:val="24"/>
        </w:rPr>
      </w:pPr>
      <w:r>
        <w:rPr>
          <w:sz w:val="24"/>
        </w:rPr>
        <w:t>PT. Holcim Indonesia</w:t>
      </w:r>
      <w:r>
        <w:rPr>
          <w:spacing w:val="-2"/>
          <w:sz w:val="24"/>
        </w:rPr>
        <w:t> </w:t>
      </w:r>
      <w:r>
        <w:rPr>
          <w:sz w:val="24"/>
        </w:rPr>
        <w:t>Tbk</w:t>
      </w:r>
    </w:p>
    <w:p>
      <w:pPr>
        <w:pStyle w:val="BodyText"/>
      </w:pPr>
    </w:p>
    <w:p>
      <w:pPr>
        <w:pStyle w:val="BodyText"/>
        <w:spacing w:line="480" w:lineRule="auto"/>
        <w:ind w:left="586" w:right="791" w:firstLine="566"/>
        <w:jc w:val="both"/>
      </w:pPr>
      <w:r>
        <w:rPr/>
        <w:t>PT Holcim Indonesia Tbk adalah perusahaan manufaktur semen. Pendahulu perusahaan adalah PT Semen Cibinong Tbk, yang didirikan pada tahun 1971. Perubahan nama terjadi pada 1 Januari 2006. Perusahaan ini dimiliki 77,33% oleh Holcim Ltd (Swiss) dan 22,7% oleh publik. Perusahaan juga memiliki anak perusahaan PT Holcim Beton, sebelumnya PT Trumix Beton. Visi perusahaan adalah memberikan solusi berkelanjutan untuk membangun masa depan rakyat Indonesia. Misinya adalah membangun perusahaan yang memberikan layanan bernilai tambah bagi para pemangku kepentingan dengan memberikan solusi pengembangan berdasarkan prinsip berkelanjutan dari setiap kelompok pelanggan tertentu. Dan memperhatikan pengembangan produksi yang aman dan lingkungan yang berkelanjutan, serta kemampuan sumber daya manusia, inovasi dan pembentukan jaringan yang kuat.</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Heading3"/>
        <w:numPr>
          <w:ilvl w:val="2"/>
          <w:numId w:val="21"/>
        </w:numPr>
        <w:tabs>
          <w:tab w:pos="1153" w:val="left" w:leader="none"/>
        </w:tabs>
        <w:spacing w:line="240" w:lineRule="auto" w:before="209" w:after="0"/>
        <w:ind w:left="1153" w:right="0" w:hanging="567"/>
        <w:jc w:val="both"/>
      </w:pPr>
      <w:r>
        <w:rPr/>
        <w:t>Deskripsi Hasil</w:t>
      </w:r>
      <w:r>
        <w:rPr>
          <w:spacing w:val="-1"/>
        </w:rPr>
        <w:t> </w:t>
      </w:r>
      <w:r>
        <w:rPr/>
        <w:t>Penelitian</w:t>
      </w:r>
    </w:p>
    <w:p>
      <w:pPr>
        <w:pStyle w:val="BodyText"/>
        <w:spacing w:before="7"/>
        <w:rPr>
          <w:b/>
          <w:sz w:val="23"/>
        </w:rPr>
      </w:pPr>
    </w:p>
    <w:p>
      <w:pPr>
        <w:pStyle w:val="BodyText"/>
        <w:spacing w:line="480" w:lineRule="auto"/>
        <w:ind w:left="586" w:right="792" w:firstLine="566"/>
        <w:jc w:val="both"/>
      </w:pPr>
      <w:r>
        <w:rPr/>
        <w:t>Deskripsi variabel yang digunakan dalam statistik deskriptif yang digunakan dalam penelitian ini termasuk minimum, maksimum, rata-rata dan standar deviasi dari variabel dependen (yaitu harga saham) dan dua variabel independen (pengembalian aset dan pengembalian aset). Statistik deskriptif terkait dengan pengumpulan dan pemeringkatan data. Statistik deskriptif menggambarkan karakter sampel yang digunakan dalam penelitian ini. Distribusi statistik deskriptif masing-masing variabel dalam tabel di bawah ini:</w:t>
      </w:r>
    </w:p>
    <w:p>
      <w:pPr>
        <w:pStyle w:val="BodyText"/>
        <w:spacing w:before="2"/>
        <w:ind w:left="3141"/>
        <w:jc w:val="both"/>
      </w:pPr>
      <w:r>
        <w:rPr/>
        <w:t>Tabel 4.1 Analisis Deskriptif</w:t>
      </w:r>
    </w:p>
    <w:p>
      <w:pPr>
        <w:pStyle w:val="BodyText"/>
        <w:spacing w:before="3"/>
      </w:pPr>
    </w:p>
    <w:tbl>
      <w:tblPr>
        <w:tblW w:w="0" w:type="auto"/>
        <w:jc w:val="left"/>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5"/>
        <w:gridCol w:w="1028"/>
        <w:gridCol w:w="1071"/>
        <w:gridCol w:w="1100"/>
        <w:gridCol w:w="1196"/>
        <w:gridCol w:w="1441"/>
      </w:tblGrid>
      <w:tr>
        <w:trPr>
          <w:trHeight w:val="321" w:hRule="atLeast"/>
        </w:trPr>
        <w:tc>
          <w:tcPr>
            <w:tcW w:w="7531" w:type="dxa"/>
            <w:gridSpan w:val="6"/>
          </w:tcPr>
          <w:p>
            <w:pPr>
              <w:pStyle w:val="TableParagraph"/>
              <w:spacing w:line="234" w:lineRule="exact" w:before="68"/>
              <w:ind w:left="2758" w:right="2760"/>
              <w:jc w:val="center"/>
              <w:rPr>
                <w:b/>
                <w:sz w:val="22"/>
              </w:rPr>
            </w:pPr>
            <w:r>
              <w:rPr>
                <w:b/>
                <w:sz w:val="22"/>
              </w:rPr>
              <w:t>Descriptive Statistics</w:t>
            </w:r>
          </w:p>
        </w:tc>
      </w:tr>
      <w:tr>
        <w:trPr>
          <w:trHeight w:val="321" w:hRule="atLeast"/>
        </w:trPr>
        <w:tc>
          <w:tcPr>
            <w:tcW w:w="1695" w:type="dxa"/>
          </w:tcPr>
          <w:p>
            <w:pPr>
              <w:pStyle w:val="TableParagraph"/>
              <w:spacing w:line="240" w:lineRule="auto"/>
              <w:jc w:val="left"/>
              <w:rPr>
                <w:sz w:val="22"/>
              </w:rPr>
            </w:pPr>
          </w:p>
        </w:tc>
        <w:tc>
          <w:tcPr>
            <w:tcW w:w="1028" w:type="dxa"/>
          </w:tcPr>
          <w:p>
            <w:pPr>
              <w:pStyle w:val="TableParagraph"/>
              <w:spacing w:line="191" w:lineRule="exact" w:before="110"/>
              <w:ind w:left="16"/>
              <w:jc w:val="center"/>
              <w:rPr>
                <w:sz w:val="18"/>
              </w:rPr>
            </w:pPr>
            <w:r>
              <w:rPr>
                <w:w w:val="101"/>
                <w:sz w:val="18"/>
              </w:rPr>
              <w:t>N</w:t>
            </w:r>
          </w:p>
        </w:tc>
        <w:tc>
          <w:tcPr>
            <w:tcW w:w="1071" w:type="dxa"/>
          </w:tcPr>
          <w:p>
            <w:pPr>
              <w:pStyle w:val="TableParagraph"/>
              <w:spacing w:line="191" w:lineRule="exact" w:before="110"/>
              <w:ind w:left="177"/>
              <w:jc w:val="left"/>
              <w:rPr>
                <w:sz w:val="18"/>
              </w:rPr>
            </w:pPr>
            <w:r>
              <w:rPr>
                <w:sz w:val="18"/>
              </w:rPr>
              <w:t>Minimum</w:t>
            </w:r>
          </w:p>
        </w:tc>
        <w:tc>
          <w:tcPr>
            <w:tcW w:w="1100" w:type="dxa"/>
          </w:tcPr>
          <w:p>
            <w:pPr>
              <w:pStyle w:val="TableParagraph"/>
              <w:spacing w:line="191" w:lineRule="exact" w:before="110"/>
              <w:ind w:left="176"/>
              <w:jc w:val="left"/>
              <w:rPr>
                <w:sz w:val="18"/>
              </w:rPr>
            </w:pPr>
            <w:r>
              <w:rPr>
                <w:sz w:val="18"/>
              </w:rPr>
              <w:t>Maximum</w:t>
            </w:r>
          </w:p>
        </w:tc>
        <w:tc>
          <w:tcPr>
            <w:tcW w:w="1196" w:type="dxa"/>
          </w:tcPr>
          <w:p>
            <w:pPr>
              <w:pStyle w:val="TableParagraph"/>
              <w:spacing w:line="191" w:lineRule="exact" w:before="110"/>
              <w:ind w:left="397"/>
              <w:jc w:val="left"/>
              <w:rPr>
                <w:sz w:val="18"/>
              </w:rPr>
            </w:pPr>
            <w:r>
              <w:rPr>
                <w:sz w:val="18"/>
              </w:rPr>
              <w:t>Mean</w:t>
            </w:r>
          </w:p>
        </w:tc>
        <w:tc>
          <w:tcPr>
            <w:tcW w:w="1441" w:type="dxa"/>
          </w:tcPr>
          <w:p>
            <w:pPr>
              <w:pStyle w:val="TableParagraph"/>
              <w:spacing w:line="191" w:lineRule="exact" w:before="110"/>
              <w:ind w:left="200"/>
              <w:jc w:val="left"/>
              <w:rPr>
                <w:sz w:val="18"/>
              </w:rPr>
            </w:pPr>
            <w:r>
              <w:rPr>
                <w:sz w:val="18"/>
              </w:rPr>
              <w:t>Std. Deviation</w:t>
            </w:r>
          </w:p>
        </w:tc>
      </w:tr>
      <w:tr>
        <w:trPr>
          <w:trHeight w:val="321" w:hRule="atLeast"/>
        </w:trPr>
        <w:tc>
          <w:tcPr>
            <w:tcW w:w="1695" w:type="dxa"/>
            <w:shd w:val="clear" w:color="auto" w:fill="DFDFDF"/>
          </w:tcPr>
          <w:p>
            <w:pPr>
              <w:pStyle w:val="TableParagraph"/>
              <w:spacing w:line="191" w:lineRule="exact" w:before="110"/>
              <w:ind w:left="67"/>
              <w:jc w:val="left"/>
              <w:rPr>
                <w:sz w:val="18"/>
              </w:rPr>
            </w:pPr>
            <w:r>
              <w:rPr>
                <w:sz w:val="18"/>
              </w:rPr>
              <w:t>Return On Asset</w:t>
            </w:r>
          </w:p>
        </w:tc>
        <w:tc>
          <w:tcPr>
            <w:tcW w:w="1028" w:type="dxa"/>
          </w:tcPr>
          <w:p>
            <w:pPr>
              <w:pStyle w:val="TableParagraph"/>
              <w:spacing w:line="191" w:lineRule="exact" w:before="110"/>
              <w:ind w:right="46"/>
              <w:rPr>
                <w:sz w:val="18"/>
              </w:rPr>
            </w:pPr>
            <w:r>
              <w:rPr>
                <w:sz w:val="18"/>
              </w:rPr>
              <w:t>35</w:t>
            </w:r>
          </w:p>
        </w:tc>
        <w:tc>
          <w:tcPr>
            <w:tcW w:w="1071" w:type="dxa"/>
          </w:tcPr>
          <w:p>
            <w:pPr>
              <w:pStyle w:val="TableParagraph"/>
              <w:spacing w:line="191" w:lineRule="exact" w:before="110"/>
              <w:ind w:right="46"/>
              <w:rPr>
                <w:sz w:val="18"/>
              </w:rPr>
            </w:pPr>
            <w:r>
              <w:rPr>
                <w:sz w:val="18"/>
              </w:rPr>
              <w:t>-4.44</w:t>
            </w:r>
          </w:p>
        </w:tc>
        <w:tc>
          <w:tcPr>
            <w:tcW w:w="1100" w:type="dxa"/>
          </w:tcPr>
          <w:p>
            <w:pPr>
              <w:pStyle w:val="TableParagraph"/>
              <w:spacing w:line="191" w:lineRule="exact" w:before="110"/>
              <w:ind w:right="46"/>
              <w:rPr>
                <w:sz w:val="18"/>
              </w:rPr>
            </w:pPr>
            <w:r>
              <w:rPr>
                <w:sz w:val="18"/>
              </w:rPr>
              <w:t>24.91</w:t>
            </w:r>
          </w:p>
        </w:tc>
        <w:tc>
          <w:tcPr>
            <w:tcW w:w="1196" w:type="dxa"/>
          </w:tcPr>
          <w:p>
            <w:pPr>
              <w:pStyle w:val="TableParagraph"/>
              <w:spacing w:line="191" w:lineRule="exact" w:before="110"/>
              <w:ind w:right="47"/>
              <w:rPr>
                <w:sz w:val="18"/>
              </w:rPr>
            </w:pPr>
            <w:r>
              <w:rPr>
                <w:sz w:val="18"/>
              </w:rPr>
              <w:t>8.5180</w:t>
            </w:r>
          </w:p>
        </w:tc>
        <w:tc>
          <w:tcPr>
            <w:tcW w:w="1441" w:type="dxa"/>
          </w:tcPr>
          <w:p>
            <w:pPr>
              <w:pStyle w:val="TableParagraph"/>
              <w:spacing w:line="191" w:lineRule="exact" w:before="110"/>
              <w:ind w:right="48"/>
              <w:rPr>
                <w:sz w:val="18"/>
              </w:rPr>
            </w:pPr>
            <w:r>
              <w:rPr>
                <w:sz w:val="18"/>
              </w:rPr>
              <w:t>7.12182</w:t>
            </w:r>
          </w:p>
        </w:tc>
      </w:tr>
      <w:tr>
        <w:trPr>
          <w:trHeight w:val="316" w:hRule="atLeast"/>
        </w:trPr>
        <w:tc>
          <w:tcPr>
            <w:tcW w:w="1695" w:type="dxa"/>
            <w:shd w:val="clear" w:color="auto" w:fill="DFDFDF"/>
          </w:tcPr>
          <w:p>
            <w:pPr>
              <w:pStyle w:val="TableParagraph"/>
              <w:spacing w:line="191" w:lineRule="exact" w:before="105"/>
              <w:ind w:left="67"/>
              <w:jc w:val="left"/>
              <w:rPr>
                <w:sz w:val="18"/>
              </w:rPr>
            </w:pPr>
            <w:r>
              <w:rPr>
                <w:sz w:val="18"/>
              </w:rPr>
              <w:t>Return On Equity</w:t>
            </w:r>
          </w:p>
        </w:tc>
        <w:tc>
          <w:tcPr>
            <w:tcW w:w="1028" w:type="dxa"/>
          </w:tcPr>
          <w:p>
            <w:pPr>
              <w:pStyle w:val="TableParagraph"/>
              <w:spacing w:line="191" w:lineRule="exact" w:before="105"/>
              <w:ind w:right="46"/>
              <w:rPr>
                <w:sz w:val="18"/>
              </w:rPr>
            </w:pPr>
            <w:r>
              <w:rPr>
                <w:sz w:val="18"/>
              </w:rPr>
              <w:t>35</w:t>
            </w:r>
          </w:p>
        </w:tc>
        <w:tc>
          <w:tcPr>
            <w:tcW w:w="1071" w:type="dxa"/>
          </w:tcPr>
          <w:p>
            <w:pPr>
              <w:pStyle w:val="TableParagraph"/>
              <w:spacing w:line="191" w:lineRule="exact" w:before="105"/>
              <w:ind w:right="46"/>
              <w:rPr>
                <w:sz w:val="18"/>
              </w:rPr>
            </w:pPr>
            <w:r>
              <w:rPr>
                <w:sz w:val="18"/>
              </w:rPr>
              <w:t>-12.90</w:t>
            </w:r>
          </w:p>
        </w:tc>
        <w:tc>
          <w:tcPr>
            <w:tcW w:w="1100" w:type="dxa"/>
          </w:tcPr>
          <w:p>
            <w:pPr>
              <w:pStyle w:val="TableParagraph"/>
              <w:spacing w:line="191" w:lineRule="exact" w:before="105"/>
              <w:ind w:right="46"/>
              <w:rPr>
                <w:sz w:val="18"/>
              </w:rPr>
            </w:pPr>
            <w:r>
              <w:rPr>
                <w:sz w:val="18"/>
              </w:rPr>
              <w:t>31.29</w:t>
            </w:r>
          </w:p>
        </w:tc>
        <w:tc>
          <w:tcPr>
            <w:tcW w:w="1196" w:type="dxa"/>
          </w:tcPr>
          <w:p>
            <w:pPr>
              <w:pStyle w:val="TableParagraph"/>
              <w:spacing w:line="191" w:lineRule="exact" w:before="105"/>
              <w:ind w:right="47"/>
              <w:rPr>
                <w:sz w:val="18"/>
              </w:rPr>
            </w:pPr>
            <w:r>
              <w:rPr>
                <w:sz w:val="18"/>
              </w:rPr>
              <w:t>11.8386</w:t>
            </w:r>
          </w:p>
        </w:tc>
        <w:tc>
          <w:tcPr>
            <w:tcW w:w="1441" w:type="dxa"/>
          </w:tcPr>
          <w:p>
            <w:pPr>
              <w:pStyle w:val="TableParagraph"/>
              <w:spacing w:line="191" w:lineRule="exact" w:before="105"/>
              <w:ind w:right="48"/>
              <w:rPr>
                <w:sz w:val="18"/>
              </w:rPr>
            </w:pPr>
            <w:r>
              <w:rPr>
                <w:sz w:val="18"/>
              </w:rPr>
              <w:t>9.58866</w:t>
            </w:r>
          </w:p>
        </w:tc>
      </w:tr>
      <w:tr>
        <w:trPr>
          <w:trHeight w:val="321" w:hRule="atLeast"/>
        </w:trPr>
        <w:tc>
          <w:tcPr>
            <w:tcW w:w="1695" w:type="dxa"/>
            <w:shd w:val="clear" w:color="auto" w:fill="DFDFDF"/>
          </w:tcPr>
          <w:p>
            <w:pPr>
              <w:pStyle w:val="TableParagraph"/>
              <w:spacing w:line="191" w:lineRule="exact" w:before="110"/>
              <w:ind w:left="67"/>
              <w:jc w:val="left"/>
              <w:rPr>
                <w:sz w:val="18"/>
              </w:rPr>
            </w:pPr>
            <w:r>
              <w:rPr>
                <w:sz w:val="18"/>
              </w:rPr>
              <w:t>Harga Saham</w:t>
            </w:r>
          </w:p>
        </w:tc>
        <w:tc>
          <w:tcPr>
            <w:tcW w:w="1028" w:type="dxa"/>
          </w:tcPr>
          <w:p>
            <w:pPr>
              <w:pStyle w:val="TableParagraph"/>
              <w:spacing w:line="191" w:lineRule="exact" w:before="110"/>
              <w:ind w:right="46"/>
              <w:rPr>
                <w:sz w:val="18"/>
              </w:rPr>
            </w:pPr>
            <w:r>
              <w:rPr>
                <w:sz w:val="18"/>
              </w:rPr>
              <w:t>35</w:t>
            </w:r>
          </w:p>
        </w:tc>
        <w:tc>
          <w:tcPr>
            <w:tcW w:w="1071" w:type="dxa"/>
          </w:tcPr>
          <w:p>
            <w:pPr>
              <w:pStyle w:val="TableParagraph"/>
              <w:spacing w:line="191" w:lineRule="exact" w:before="110"/>
              <w:ind w:right="46"/>
              <w:rPr>
                <w:sz w:val="18"/>
              </w:rPr>
            </w:pPr>
            <w:r>
              <w:rPr>
                <w:sz w:val="18"/>
              </w:rPr>
              <w:t>256.00</w:t>
            </w:r>
          </w:p>
        </w:tc>
        <w:tc>
          <w:tcPr>
            <w:tcW w:w="1100" w:type="dxa"/>
          </w:tcPr>
          <w:p>
            <w:pPr>
              <w:pStyle w:val="TableParagraph"/>
              <w:spacing w:line="191" w:lineRule="exact" w:before="110"/>
              <w:ind w:right="47"/>
              <w:rPr>
                <w:sz w:val="18"/>
              </w:rPr>
            </w:pPr>
            <w:r>
              <w:rPr>
                <w:sz w:val="18"/>
              </w:rPr>
              <w:t>25000.00</w:t>
            </w:r>
          </w:p>
        </w:tc>
        <w:tc>
          <w:tcPr>
            <w:tcW w:w="1196" w:type="dxa"/>
          </w:tcPr>
          <w:p>
            <w:pPr>
              <w:pStyle w:val="TableParagraph"/>
              <w:spacing w:line="191" w:lineRule="exact" w:before="110"/>
              <w:ind w:right="47"/>
              <w:rPr>
                <w:sz w:val="18"/>
              </w:rPr>
            </w:pPr>
            <w:r>
              <w:rPr>
                <w:sz w:val="18"/>
              </w:rPr>
              <w:t>7439.5429</w:t>
            </w:r>
          </w:p>
        </w:tc>
        <w:tc>
          <w:tcPr>
            <w:tcW w:w="1441" w:type="dxa"/>
          </w:tcPr>
          <w:p>
            <w:pPr>
              <w:pStyle w:val="TableParagraph"/>
              <w:spacing w:line="191" w:lineRule="exact" w:before="110"/>
              <w:ind w:right="48"/>
              <w:rPr>
                <w:sz w:val="18"/>
              </w:rPr>
            </w:pPr>
            <w:r>
              <w:rPr>
                <w:sz w:val="18"/>
              </w:rPr>
              <w:t>8342.82869</w:t>
            </w:r>
          </w:p>
        </w:tc>
      </w:tr>
      <w:tr>
        <w:trPr>
          <w:trHeight w:val="321" w:hRule="atLeast"/>
        </w:trPr>
        <w:tc>
          <w:tcPr>
            <w:tcW w:w="1695" w:type="dxa"/>
            <w:shd w:val="clear" w:color="auto" w:fill="DFDFDF"/>
          </w:tcPr>
          <w:p>
            <w:pPr>
              <w:pStyle w:val="TableParagraph"/>
              <w:spacing w:line="191" w:lineRule="exact" w:before="110"/>
              <w:ind w:left="67"/>
              <w:jc w:val="left"/>
              <w:rPr>
                <w:sz w:val="18"/>
              </w:rPr>
            </w:pPr>
            <w:r>
              <w:rPr>
                <w:sz w:val="18"/>
              </w:rPr>
              <w:t>Valid N (listwise)</w:t>
            </w:r>
          </w:p>
        </w:tc>
        <w:tc>
          <w:tcPr>
            <w:tcW w:w="1028" w:type="dxa"/>
          </w:tcPr>
          <w:p>
            <w:pPr>
              <w:pStyle w:val="TableParagraph"/>
              <w:spacing w:line="191" w:lineRule="exact" w:before="110"/>
              <w:ind w:right="46"/>
              <w:rPr>
                <w:sz w:val="18"/>
              </w:rPr>
            </w:pPr>
            <w:r>
              <w:rPr>
                <w:sz w:val="18"/>
              </w:rPr>
              <w:t>35</w:t>
            </w:r>
          </w:p>
        </w:tc>
        <w:tc>
          <w:tcPr>
            <w:tcW w:w="1071" w:type="dxa"/>
          </w:tcPr>
          <w:p>
            <w:pPr>
              <w:pStyle w:val="TableParagraph"/>
              <w:spacing w:line="240" w:lineRule="auto"/>
              <w:jc w:val="left"/>
              <w:rPr>
                <w:sz w:val="22"/>
              </w:rPr>
            </w:pPr>
          </w:p>
        </w:tc>
        <w:tc>
          <w:tcPr>
            <w:tcW w:w="1100" w:type="dxa"/>
          </w:tcPr>
          <w:p>
            <w:pPr>
              <w:pStyle w:val="TableParagraph"/>
              <w:spacing w:line="240" w:lineRule="auto"/>
              <w:jc w:val="left"/>
              <w:rPr>
                <w:sz w:val="22"/>
              </w:rPr>
            </w:pPr>
          </w:p>
        </w:tc>
        <w:tc>
          <w:tcPr>
            <w:tcW w:w="1196" w:type="dxa"/>
          </w:tcPr>
          <w:p>
            <w:pPr>
              <w:pStyle w:val="TableParagraph"/>
              <w:spacing w:line="240" w:lineRule="auto"/>
              <w:jc w:val="left"/>
              <w:rPr>
                <w:sz w:val="22"/>
              </w:rPr>
            </w:pPr>
          </w:p>
        </w:tc>
        <w:tc>
          <w:tcPr>
            <w:tcW w:w="1441" w:type="dxa"/>
          </w:tcPr>
          <w:p>
            <w:pPr>
              <w:pStyle w:val="TableParagraph"/>
              <w:spacing w:line="240" w:lineRule="auto"/>
              <w:jc w:val="left"/>
              <w:rPr>
                <w:sz w:val="22"/>
              </w:rPr>
            </w:pPr>
          </w:p>
        </w:tc>
      </w:tr>
    </w:tbl>
    <w:p>
      <w:pPr>
        <w:pStyle w:val="BodyText"/>
        <w:ind w:left="586"/>
      </w:pPr>
      <w:r>
        <w:rPr/>
        <w:t>Sumber: Olahan Data SPSS 24, 2020</w:t>
      </w:r>
    </w:p>
    <w:p>
      <w:pPr>
        <w:pStyle w:val="BodyText"/>
      </w:pPr>
    </w:p>
    <w:p>
      <w:pPr>
        <w:pStyle w:val="BodyText"/>
        <w:spacing w:line="480" w:lineRule="auto"/>
        <w:ind w:left="586" w:right="793" w:firstLine="532"/>
        <w:jc w:val="both"/>
      </w:pPr>
      <w:r>
        <w:rPr/>
        <w:t>Berdasarkan tabel di atas dapat dilihat bahwa terdapat variabel dependen, yaitu harga saham (Y), dan variabel independen, yaitu </w:t>
      </w:r>
      <w:r>
        <w:rPr>
          <w:i/>
        </w:rPr>
        <w:t>return on asset </w:t>
      </w:r>
      <w:r>
        <w:rPr/>
        <w:t>(X1), dan </w:t>
      </w:r>
      <w:r>
        <w:rPr>
          <w:i/>
        </w:rPr>
        <w:t>return on equiy </w:t>
      </w:r>
      <w:r>
        <w:rPr/>
        <w:t>(X2), dengan 35 data penelitian yang diperoleh pada periode 2012-2018.</w:t>
      </w:r>
    </w:p>
    <w:p>
      <w:pPr>
        <w:pStyle w:val="BodyText"/>
        <w:spacing w:line="480" w:lineRule="auto" w:before="1"/>
        <w:ind w:left="586" w:right="791" w:firstLine="528"/>
        <w:jc w:val="both"/>
      </w:pPr>
      <w:r>
        <w:rPr/>
        <w:t>Harga saham perusahaan merupakan variabel dependen menunjukan bahwa nilai rata-rata sebesar 7439,54% nilai minimum 256,00%, sedangkan nilai maximum sebesar 25000,00% dengan standar deviasi 8342,82%. Dimana nilai mean lebih kecil dari pada standar deviasi sehingga data tersebut menunjukkan berdistribusi tidak normal.</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4" w:firstLine="566"/>
        <w:jc w:val="both"/>
      </w:pPr>
      <w:r>
        <w:rPr>
          <w:i/>
        </w:rPr>
        <w:t>Return on asset </w:t>
      </w:r>
      <w:r>
        <w:rPr/>
        <w:t>Pengembalian aset menunjukkan nilai rata-rata 8,51% dan nilai maksimum 24,91%. Minimum -4,44% standar deviasi 7,12% kurang dari rata-rata 8,51%. Dengan melihat standar deviasi kurang dari rata-rata, distribusi data yang lebih kecil dapat digunakan, sehingga dapat disimpulkan bahwa data terdistribusi normal.</w:t>
      </w:r>
    </w:p>
    <w:p>
      <w:pPr>
        <w:pStyle w:val="BodyText"/>
        <w:spacing w:line="480" w:lineRule="auto"/>
        <w:ind w:left="586" w:right="791" w:firstLine="566"/>
        <w:jc w:val="both"/>
      </w:pPr>
      <w:r>
        <w:rPr>
          <w:i/>
        </w:rPr>
        <w:t>Return on equity </w:t>
      </w:r>
      <w:r>
        <w:rPr/>
        <w:t>Pengembalian modal rata-rata (rata-rata) adalah 11,83%, nilai maksimum adalah 31,29%, dan nilai minimum adalah -12,90%. Deviasi standar pengembalian atas ekuitas kurang dari rata-rata 9,58%. Dengan melihat nilai standar deviasi yang kurang dari rata-rata, data </w:t>
      </w:r>
      <w:r>
        <w:rPr>
          <w:spacing w:val="-3"/>
        </w:rPr>
        <w:t>yang </w:t>
      </w:r>
      <w:r>
        <w:rPr/>
        <w:t>digunakan oleh variabel pengembalian aset bersih memiliki distribusi </w:t>
      </w:r>
      <w:r>
        <w:rPr>
          <w:spacing w:val="-3"/>
        </w:rPr>
        <w:t>yang </w:t>
      </w:r>
      <w:r>
        <w:rPr/>
        <w:t>kecil, sehingga dapat disimpulkan bahwa data </w:t>
      </w:r>
      <w:r>
        <w:rPr>
          <w:spacing w:val="-3"/>
        </w:rPr>
        <w:t>yang </w:t>
      </w:r>
      <w:r>
        <w:rPr/>
        <w:t>digunakan berdistribusi normal dan dapat terus digunakan dalam uji hipotesis</w:t>
      </w:r>
      <w:r>
        <w:rPr>
          <w:spacing w:val="-8"/>
        </w:rPr>
        <w:t> </w:t>
      </w:r>
      <w:r>
        <w:rPr/>
        <w:t>klasik.</w:t>
      </w:r>
    </w:p>
    <w:p>
      <w:pPr>
        <w:pStyle w:val="Heading3"/>
        <w:numPr>
          <w:ilvl w:val="2"/>
          <w:numId w:val="21"/>
        </w:numPr>
        <w:tabs>
          <w:tab w:pos="1153" w:val="left" w:leader="none"/>
        </w:tabs>
        <w:spacing w:line="240" w:lineRule="auto" w:before="6" w:after="0"/>
        <w:ind w:left="1153" w:right="0" w:hanging="567"/>
        <w:jc w:val="both"/>
      </w:pPr>
      <w:r>
        <w:rPr/>
        <w:t>Uji Asumsi</w:t>
      </w:r>
      <w:r>
        <w:rPr>
          <w:spacing w:val="-10"/>
        </w:rPr>
        <w:t> </w:t>
      </w:r>
      <w:r>
        <w:rPr/>
        <w:t>Klasik</w:t>
      </w:r>
    </w:p>
    <w:p>
      <w:pPr>
        <w:pStyle w:val="BodyText"/>
        <w:spacing w:before="7"/>
        <w:rPr>
          <w:b/>
          <w:sz w:val="23"/>
        </w:rPr>
      </w:pPr>
    </w:p>
    <w:p>
      <w:pPr>
        <w:pStyle w:val="ListParagraph"/>
        <w:numPr>
          <w:ilvl w:val="0"/>
          <w:numId w:val="23"/>
        </w:numPr>
        <w:tabs>
          <w:tab w:pos="1153" w:val="left" w:leader="none"/>
        </w:tabs>
        <w:spacing w:line="240" w:lineRule="auto" w:before="1" w:after="0"/>
        <w:ind w:left="1153" w:right="0" w:hanging="284"/>
        <w:jc w:val="left"/>
        <w:rPr>
          <w:sz w:val="24"/>
        </w:rPr>
      </w:pPr>
      <w:r>
        <w:rPr>
          <w:sz w:val="24"/>
        </w:rPr>
        <w:t>Uji</w:t>
      </w:r>
      <w:r>
        <w:rPr>
          <w:spacing w:val="-7"/>
          <w:sz w:val="24"/>
        </w:rPr>
        <w:t> </w:t>
      </w:r>
      <w:r>
        <w:rPr>
          <w:sz w:val="24"/>
        </w:rPr>
        <w:t>Normalitas</w:t>
      </w:r>
    </w:p>
    <w:p>
      <w:pPr>
        <w:pStyle w:val="BodyText"/>
        <w:spacing w:before="11"/>
        <w:rPr>
          <w:sz w:val="23"/>
        </w:rPr>
      </w:pPr>
    </w:p>
    <w:p>
      <w:pPr>
        <w:pStyle w:val="BodyText"/>
        <w:spacing w:line="480" w:lineRule="auto"/>
        <w:ind w:left="586" w:right="795" w:firstLine="566"/>
        <w:jc w:val="both"/>
      </w:pPr>
      <w:r>
        <w:rPr/>
        <w:t>Uji normalitas digunakan untuk menentukan apakah model regresi yang diteliti memiliki distribusi normal. Cara untuk mengetahui apakah data penelitian memiliki distribusi normal adalah dengan menggunakan uji statistik nonparametrik Kolmogorov-Smirnov (uji K-S). </w:t>
      </w:r>
      <w:r>
        <w:rPr>
          <w:spacing w:val="-4"/>
        </w:rPr>
        <w:t>Jika </w:t>
      </w:r>
      <w:r>
        <w:rPr/>
        <w:t>nilai signifikansi Kolmogorov-Smirnov lebih besar dari nilai Alpha (0,05), data mengikuti distribusi normal, sebaliknya, </w:t>
      </w:r>
      <w:r>
        <w:rPr>
          <w:spacing w:val="-3"/>
        </w:rPr>
        <w:t>jika </w:t>
      </w:r>
      <w:r>
        <w:rPr/>
        <w:t>lebih kecil </w:t>
      </w:r>
      <w:r>
        <w:rPr>
          <w:spacing w:val="2"/>
        </w:rPr>
        <w:t>dari </w:t>
      </w:r>
      <w:r>
        <w:rPr/>
        <w:t>nilai Alpha (0,05), distribusi data tidak</w:t>
      </w:r>
      <w:r>
        <w:rPr>
          <w:spacing w:val="-3"/>
        </w:rPr>
        <w:t> </w:t>
      </w:r>
      <w:r>
        <w:rPr/>
        <w:t>normal.</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before="205"/>
        <w:ind w:left="802" w:right="985"/>
        <w:jc w:val="center"/>
      </w:pPr>
      <w:r>
        <w:rPr/>
        <w:t>Tabel 4.2 Hasil Uji Normalitas</w:t>
      </w:r>
    </w:p>
    <w:p>
      <w:pPr>
        <w:pStyle w:val="BodyText"/>
        <w:spacing w:before="3"/>
      </w:pPr>
    </w:p>
    <w:tbl>
      <w:tblPr>
        <w:tblW w:w="0" w:type="auto"/>
        <w:jc w:val="left"/>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5"/>
        <w:gridCol w:w="1436"/>
        <w:gridCol w:w="1470"/>
        <w:gridCol w:w="1470"/>
        <w:gridCol w:w="1470"/>
      </w:tblGrid>
      <w:tr>
        <w:trPr>
          <w:trHeight w:val="321" w:hRule="atLeast"/>
        </w:trPr>
        <w:tc>
          <w:tcPr>
            <w:tcW w:w="8281" w:type="dxa"/>
            <w:gridSpan w:val="5"/>
          </w:tcPr>
          <w:p>
            <w:pPr>
              <w:pStyle w:val="TableParagraph"/>
              <w:spacing w:line="233" w:lineRule="exact" w:before="68"/>
              <w:ind w:left="2254" w:right="2248"/>
              <w:jc w:val="center"/>
              <w:rPr>
                <w:b/>
                <w:sz w:val="22"/>
              </w:rPr>
            </w:pPr>
            <w:r>
              <w:rPr>
                <w:b/>
                <w:sz w:val="22"/>
              </w:rPr>
              <w:t>One-Sample Kolmogorov-Smirnov Test</w:t>
            </w:r>
          </w:p>
        </w:tc>
      </w:tr>
      <w:tr>
        <w:trPr>
          <w:trHeight w:val="321" w:hRule="atLeast"/>
        </w:trPr>
        <w:tc>
          <w:tcPr>
            <w:tcW w:w="3871" w:type="dxa"/>
            <w:gridSpan w:val="2"/>
          </w:tcPr>
          <w:p>
            <w:pPr>
              <w:pStyle w:val="TableParagraph"/>
              <w:spacing w:line="240" w:lineRule="auto"/>
              <w:jc w:val="left"/>
              <w:rPr>
                <w:sz w:val="22"/>
              </w:rPr>
            </w:pPr>
          </w:p>
        </w:tc>
        <w:tc>
          <w:tcPr>
            <w:tcW w:w="1470" w:type="dxa"/>
          </w:tcPr>
          <w:p>
            <w:pPr>
              <w:pStyle w:val="TableParagraph"/>
              <w:spacing w:line="191" w:lineRule="exact" w:before="110"/>
              <w:ind w:left="138"/>
              <w:jc w:val="left"/>
              <w:rPr>
                <w:sz w:val="18"/>
              </w:rPr>
            </w:pPr>
            <w:r>
              <w:rPr>
                <w:sz w:val="18"/>
              </w:rPr>
              <w:t>Return On Asset</w:t>
            </w:r>
          </w:p>
        </w:tc>
        <w:tc>
          <w:tcPr>
            <w:tcW w:w="1470" w:type="dxa"/>
          </w:tcPr>
          <w:p>
            <w:pPr>
              <w:pStyle w:val="TableParagraph"/>
              <w:spacing w:line="191" w:lineRule="exact" w:before="110"/>
              <w:ind w:right="78"/>
              <w:rPr>
                <w:sz w:val="18"/>
              </w:rPr>
            </w:pPr>
            <w:r>
              <w:rPr>
                <w:sz w:val="18"/>
              </w:rPr>
              <w:t>Return On Equity</w:t>
            </w:r>
          </w:p>
        </w:tc>
        <w:tc>
          <w:tcPr>
            <w:tcW w:w="1470" w:type="dxa"/>
          </w:tcPr>
          <w:p>
            <w:pPr>
              <w:pStyle w:val="TableParagraph"/>
              <w:spacing w:line="191" w:lineRule="exact" w:before="110"/>
              <w:ind w:left="242"/>
              <w:jc w:val="left"/>
              <w:rPr>
                <w:sz w:val="18"/>
              </w:rPr>
            </w:pPr>
            <w:r>
              <w:rPr>
                <w:sz w:val="18"/>
              </w:rPr>
              <w:t>Harga Saham</w:t>
            </w:r>
          </w:p>
        </w:tc>
      </w:tr>
      <w:tr>
        <w:trPr>
          <w:trHeight w:val="321" w:hRule="atLeast"/>
        </w:trPr>
        <w:tc>
          <w:tcPr>
            <w:tcW w:w="3871" w:type="dxa"/>
            <w:gridSpan w:val="2"/>
            <w:shd w:val="clear" w:color="auto" w:fill="DFDFDF"/>
          </w:tcPr>
          <w:p>
            <w:pPr>
              <w:pStyle w:val="TableParagraph"/>
              <w:spacing w:line="191" w:lineRule="exact" w:before="110"/>
              <w:ind w:left="67"/>
              <w:jc w:val="left"/>
              <w:rPr>
                <w:sz w:val="18"/>
              </w:rPr>
            </w:pPr>
            <w:r>
              <w:rPr>
                <w:w w:val="101"/>
                <w:sz w:val="18"/>
              </w:rPr>
              <w:t>N</w:t>
            </w:r>
          </w:p>
        </w:tc>
        <w:tc>
          <w:tcPr>
            <w:tcW w:w="1470" w:type="dxa"/>
          </w:tcPr>
          <w:p>
            <w:pPr>
              <w:pStyle w:val="TableParagraph"/>
              <w:spacing w:line="191" w:lineRule="exact" w:before="110"/>
              <w:ind w:right="47"/>
              <w:rPr>
                <w:sz w:val="18"/>
              </w:rPr>
            </w:pPr>
            <w:r>
              <w:rPr>
                <w:sz w:val="18"/>
              </w:rPr>
              <w:t>35</w:t>
            </w:r>
          </w:p>
        </w:tc>
        <w:tc>
          <w:tcPr>
            <w:tcW w:w="1470" w:type="dxa"/>
          </w:tcPr>
          <w:p>
            <w:pPr>
              <w:pStyle w:val="TableParagraph"/>
              <w:spacing w:line="191" w:lineRule="exact" w:before="110"/>
              <w:ind w:right="49"/>
              <w:rPr>
                <w:sz w:val="18"/>
              </w:rPr>
            </w:pPr>
            <w:r>
              <w:rPr>
                <w:sz w:val="18"/>
              </w:rPr>
              <w:t>35</w:t>
            </w:r>
          </w:p>
        </w:tc>
        <w:tc>
          <w:tcPr>
            <w:tcW w:w="1470" w:type="dxa"/>
          </w:tcPr>
          <w:p>
            <w:pPr>
              <w:pStyle w:val="TableParagraph"/>
              <w:spacing w:line="191" w:lineRule="exact" w:before="110"/>
              <w:ind w:right="53"/>
              <w:rPr>
                <w:sz w:val="18"/>
              </w:rPr>
            </w:pPr>
            <w:r>
              <w:rPr>
                <w:sz w:val="18"/>
              </w:rPr>
              <w:t>35</w:t>
            </w:r>
          </w:p>
        </w:tc>
      </w:tr>
      <w:tr>
        <w:trPr>
          <w:trHeight w:val="316" w:hRule="atLeast"/>
        </w:trPr>
        <w:tc>
          <w:tcPr>
            <w:tcW w:w="2435" w:type="dxa"/>
            <w:vMerge w:val="restart"/>
            <w:shd w:val="clear" w:color="auto" w:fill="DFDFDF"/>
          </w:tcPr>
          <w:p>
            <w:pPr>
              <w:pStyle w:val="TableParagraph"/>
              <w:spacing w:line="240" w:lineRule="auto" w:before="105"/>
              <w:ind w:left="67"/>
              <w:jc w:val="left"/>
              <w:rPr>
                <w:sz w:val="18"/>
              </w:rPr>
            </w:pPr>
            <w:r>
              <w:rPr>
                <w:sz w:val="18"/>
              </w:rPr>
              <w:t>Normal Parameters</w:t>
            </w:r>
            <w:r>
              <w:rPr>
                <w:sz w:val="18"/>
                <w:vertAlign w:val="superscript"/>
              </w:rPr>
              <w:t>a,b</w:t>
            </w:r>
          </w:p>
        </w:tc>
        <w:tc>
          <w:tcPr>
            <w:tcW w:w="1436" w:type="dxa"/>
            <w:shd w:val="clear" w:color="auto" w:fill="DFDFDF"/>
          </w:tcPr>
          <w:p>
            <w:pPr>
              <w:pStyle w:val="TableParagraph"/>
              <w:spacing w:line="191" w:lineRule="exact" w:before="105"/>
              <w:ind w:left="66"/>
              <w:jc w:val="left"/>
              <w:rPr>
                <w:sz w:val="18"/>
              </w:rPr>
            </w:pPr>
            <w:r>
              <w:rPr>
                <w:sz w:val="18"/>
              </w:rPr>
              <w:t>Mean</w:t>
            </w:r>
          </w:p>
        </w:tc>
        <w:tc>
          <w:tcPr>
            <w:tcW w:w="1470" w:type="dxa"/>
          </w:tcPr>
          <w:p>
            <w:pPr>
              <w:pStyle w:val="TableParagraph"/>
              <w:spacing w:line="191" w:lineRule="exact" w:before="105"/>
              <w:ind w:right="47"/>
              <w:rPr>
                <w:sz w:val="18"/>
              </w:rPr>
            </w:pPr>
            <w:r>
              <w:rPr>
                <w:sz w:val="18"/>
              </w:rPr>
              <w:t>8.5180</w:t>
            </w:r>
          </w:p>
        </w:tc>
        <w:tc>
          <w:tcPr>
            <w:tcW w:w="1470" w:type="dxa"/>
          </w:tcPr>
          <w:p>
            <w:pPr>
              <w:pStyle w:val="TableParagraph"/>
              <w:spacing w:line="191" w:lineRule="exact" w:before="105"/>
              <w:ind w:right="48"/>
              <w:rPr>
                <w:sz w:val="18"/>
              </w:rPr>
            </w:pPr>
            <w:r>
              <w:rPr>
                <w:sz w:val="18"/>
              </w:rPr>
              <w:t>11.8386</w:t>
            </w:r>
          </w:p>
        </w:tc>
        <w:tc>
          <w:tcPr>
            <w:tcW w:w="1470" w:type="dxa"/>
          </w:tcPr>
          <w:p>
            <w:pPr>
              <w:pStyle w:val="TableParagraph"/>
              <w:spacing w:line="191" w:lineRule="exact" w:before="105"/>
              <w:ind w:right="53"/>
              <w:rPr>
                <w:sz w:val="18"/>
              </w:rPr>
            </w:pPr>
            <w:r>
              <w:rPr>
                <w:sz w:val="18"/>
              </w:rPr>
              <w:t>7439.5429</w:t>
            </w:r>
          </w:p>
        </w:tc>
      </w:tr>
      <w:tr>
        <w:trPr>
          <w:trHeight w:val="321" w:hRule="atLeast"/>
        </w:trPr>
        <w:tc>
          <w:tcPr>
            <w:tcW w:w="2435" w:type="dxa"/>
            <w:vMerge/>
            <w:tcBorders>
              <w:top w:val="nil"/>
            </w:tcBorders>
            <w:shd w:val="clear" w:color="auto" w:fill="DFDFDF"/>
          </w:tcPr>
          <w:p>
            <w:pPr>
              <w:rPr>
                <w:sz w:val="2"/>
                <w:szCs w:val="2"/>
              </w:rPr>
            </w:pPr>
          </w:p>
        </w:tc>
        <w:tc>
          <w:tcPr>
            <w:tcW w:w="1436" w:type="dxa"/>
            <w:shd w:val="clear" w:color="auto" w:fill="DFDFDF"/>
          </w:tcPr>
          <w:p>
            <w:pPr>
              <w:pStyle w:val="TableParagraph"/>
              <w:spacing w:line="191" w:lineRule="exact" w:before="110"/>
              <w:ind w:left="66"/>
              <w:jc w:val="left"/>
              <w:rPr>
                <w:sz w:val="18"/>
              </w:rPr>
            </w:pPr>
            <w:r>
              <w:rPr>
                <w:sz w:val="18"/>
              </w:rPr>
              <w:t>Std. Deviation</w:t>
            </w:r>
          </w:p>
        </w:tc>
        <w:tc>
          <w:tcPr>
            <w:tcW w:w="1470" w:type="dxa"/>
          </w:tcPr>
          <w:p>
            <w:pPr>
              <w:pStyle w:val="TableParagraph"/>
              <w:spacing w:line="191" w:lineRule="exact" w:before="110"/>
              <w:ind w:right="47"/>
              <w:rPr>
                <w:sz w:val="18"/>
              </w:rPr>
            </w:pPr>
            <w:r>
              <w:rPr>
                <w:sz w:val="18"/>
              </w:rPr>
              <w:t>7.12182</w:t>
            </w:r>
          </w:p>
        </w:tc>
        <w:tc>
          <w:tcPr>
            <w:tcW w:w="1470" w:type="dxa"/>
          </w:tcPr>
          <w:p>
            <w:pPr>
              <w:pStyle w:val="TableParagraph"/>
              <w:spacing w:line="191" w:lineRule="exact" w:before="110"/>
              <w:ind w:right="48"/>
              <w:rPr>
                <w:sz w:val="18"/>
              </w:rPr>
            </w:pPr>
            <w:r>
              <w:rPr>
                <w:sz w:val="18"/>
              </w:rPr>
              <w:t>9.58866</w:t>
            </w:r>
          </w:p>
        </w:tc>
        <w:tc>
          <w:tcPr>
            <w:tcW w:w="1470" w:type="dxa"/>
          </w:tcPr>
          <w:p>
            <w:pPr>
              <w:pStyle w:val="TableParagraph"/>
              <w:spacing w:line="191" w:lineRule="exact" w:before="110"/>
              <w:ind w:right="53"/>
              <w:rPr>
                <w:sz w:val="18"/>
              </w:rPr>
            </w:pPr>
            <w:r>
              <w:rPr>
                <w:sz w:val="18"/>
              </w:rPr>
              <w:t>8342.82869</w:t>
            </w:r>
          </w:p>
        </w:tc>
      </w:tr>
      <w:tr>
        <w:trPr>
          <w:trHeight w:val="321" w:hRule="atLeast"/>
        </w:trPr>
        <w:tc>
          <w:tcPr>
            <w:tcW w:w="2435" w:type="dxa"/>
            <w:vMerge w:val="restart"/>
            <w:shd w:val="clear" w:color="auto" w:fill="DFDFDF"/>
          </w:tcPr>
          <w:p>
            <w:pPr>
              <w:pStyle w:val="TableParagraph"/>
              <w:spacing w:line="240" w:lineRule="auto" w:before="110"/>
              <w:ind w:left="67"/>
              <w:jc w:val="left"/>
              <w:rPr>
                <w:sz w:val="18"/>
              </w:rPr>
            </w:pPr>
            <w:r>
              <w:rPr>
                <w:sz w:val="18"/>
              </w:rPr>
              <w:t>Most Extreme Differences</w:t>
            </w:r>
          </w:p>
        </w:tc>
        <w:tc>
          <w:tcPr>
            <w:tcW w:w="1436" w:type="dxa"/>
            <w:shd w:val="clear" w:color="auto" w:fill="DFDFDF"/>
          </w:tcPr>
          <w:p>
            <w:pPr>
              <w:pStyle w:val="TableParagraph"/>
              <w:spacing w:line="191" w:lineRule="exact" w:before="110"/>
              <w:ind w:left="66"/>
              <w:jc w:val="left"/>
              <w:rPr>
                <w:sz w:val="18"/>
              </w:rPr>
            </w:pPr>
            <w:r>
              <w:rPr>
                <w:sz w:val="18"/>
              </w:rPr>
              <w:t>Absolute</w:t>
            </w:r>
          </w:p>
        </w:tc>
        <w:tc>
          <w:tcPr>
            <w:tcW w:w="1470" w:type="dxa"/>
          </w:tcPr>
          <w:p>
            <w:pPr>
              <w:pStyle w:val="TableParagraph"/>
              <w:spacing w:line="191" w:lineRule="exact" w:before="110"/>
              <w:ind w:right="47"/>
              <w:rPr>
                <w:sz w:val="18"/>
              </w:rPr>
            </w:pPr>
            <w:r>
              <w:rPr>
                <w:sz w:val="18"/>
              </w:rPr>
              <w:t>.158</w:t>
            </w:r>
          </w:p>
        </w:tc>
        <w:tc>
          <w:tcPr>
            <w:tcW w:w="1470" w:type="dxa"/>
          </w:tcPr>
          <w:p>
            <w:pPr>
              <w:pStyle w:val="TableParagraph"/>
              <w:spacing w:line="191" w:lineRule="exact" w:before="110"/>
              <w:ind w:right="48"/>
              <w:rPr>
                <w:sz w:val="18"/>
              </w:rPr>
            </w:pPr>
            <w:r>
              <w:rPr>
                <w:sz w:val="18"/>
              </w:rPr>
              <w:t>.100</w:t>
            </w:r>
          </w:p>
        </w:tc>
        <w:tc>
          <w:tcPr>
            <w:tcW w:w="1470" w:type="dxa"/>
          </w:tcPr>
          <w:p>
            <w:pPr>
              <w:pStyle w:val="TableParagraph"/>
              <w:spacing w:line="191" w:lineRule="exact" w:before="110"/>
              <w:ind w:right="53"/>
              <w:rPr>
                <w:sz w:val="18"/>
              </w:rPr>
            </w:pPr>
            <w:r>
              <w:rPr>
                <w:sz w:val="18"/>
              </w:rPr>
              <w:t>.278</w:t>
            </w:r>
          </w:p>
        </w:tc>
      </w:tr>
      <w:tr>
        <w:trPr>
          <w:trHeight w:val="321" w:hRule="atLeast"/>
        </w:trPr>
        <w:tc>
          <w:tcPr>
            <w:tcW w:w="2435" w:type="dxa"/>
            <w:vMerge/>
            <w:tcBorders>
              <w:top w:val="nil"/>
            </w:tcBorders>
            <w:shd w:val="clear" w:color="auto" w:fill="DFDFDF"/>
          </w:tcPr>
          <w:p>
            <w:pPr>
              <w:rPr>
                <w:sz w:val="2"/>
                <w:szCs w:val="2"/>
              </w:rPr>
            </w:pPr>
          </w:p>
        </w:tc>
        <w:tc>
          <w:tcPr>
            <w:tcW w:w="1436" w:type="dxa"/>
            <w:shd w:val="clear" w:color="auto" w:fill="DFDFDF"/>
          </w:tcPr>
          <w:p>
            <w:pPr>
              <w:pStyle w:val="TableParagraph"/>
              <w:spacing w:line="191" w:lineRule="exact" w:before="110"/>
              <w:ind w:left="66"/>
              <w:jc w:val="left"/>
              <w:rPr>
                <w:sz w:val="18"/>
              </w:rPr>
            </w:pPr>
            <w:r>
              <w:rPr>
                <w:sz w:val="18"/>
              </w:rPr>
              <w:t>Positive</w:t>
            </w:r>
          </w:p>
        </w:tc>
        <w:tc>
          <w:tcPr>
            <w:tcW w:w="1470" w:type="dxa"/>
          </w:tcPr>
          <w:p>
            <w:pPr>
              <w:pStyle w:val="TableParagraph"/>
              <w:spacing w:line="191" w:lineRule="exact" w:before="110"/>
              <w:ind w:right="47"/>
              <w:rPr>
                <w:sz w:val="18"/>
              </w:rPr>
            </w:pPr>
            <w:r>
              <w:rPr>
                <w:sz w:val="18"/>
              </w:rPr>
              <w:t>.158</w:t>
            </w:r>
          </w:p>
        </w:tc>
        <w:tc>
          <w:tcPr>
            <w:tcW w:w="1470" w:type="dxa"/>
          </w:tcPr>
          <w:p>
            <w:pPr>
              <w:pStyle w:val="TableParagraph"/>
              <w:spacing w:line="191" w:lineRule="exact" w:before="110"/>
              <w:ind w:right="48"/>
              <w:rPr>
                <w:sz w:val="18"/>
              </w:rPr>
            </w:pPr>
            <w:r>
              <w:rPr>
                <w:sz w:val="18"/>
              </w:rPr>
              <w:t>.085</w:t>
            </w:r>
          </w:p>
        </w:tc>
        <w:tc>
          <w:tcPr>
            <w:tcW w:w="1470" w:type="dxa"/>
          </w:tcPr>
          <w:p>
            <w:pPr>
              <w:pStyle w:val="TableParagraph"/>
              <w:spacing w:line="191" w:lineRule="exact" w:before="110"/>
              <w:ind w:right="53"/>
              <w:rPr>
                <w:sz w:val="18"/>
              </w:rPr>
            </w:pPr>
            <w:r>
              <w:rPr>
                <w:sz w:val="18"/>
              </w:rPr>
              <w:t>.278</w:t>
            </w:r>
          </w:p>
        </w:tc>
      </w:tr>
      <w:tr>
        <w:trPr>
          <w:trHeight w:val="316" w:hRule="atLeast"/>
        </w:trPr>
        <w:tc>
          <w:tcPr>
            <w:tcW w:w="2435" w:type="dxa"/>
            <w:vMerge/>
            <w:tcBorders>
              <w:top w:val="nil"/>
            </w:tcBorders>
            <w:shd w:val="clear" w:color="auto" w:fill="DFDFDF"/>
          </w:tcPr>
          <w:p>
            <w:pPr>
              <w:rPr>
                <w:sz w:val="2"/>
                <w:szCs w:val="2"/>
              </w:rPr>
            </w:pPr>
          </w:p>
        </w:tc>
        <w:tc>
          <w:tcPr>
            <w:tcW w:w="1436" w:type="dxa"/>
            <w:shd w:val="clear" w:color="auto" w:fill="DFDFDF"/>
          </w:tcPr>
          <w:p>
            <w:pPr>
              <w:pStyle w:val="TableParagraph"/>
              <w:spacing w:line="191" w:lineRule="exact" w:before="105"/>
              <w:ind w:left="66"/>
              <w:jc w:val="left"/>
              <w:rPr>
                <w:sz w:val="18"/>
              </w:rPr>
            </w:pPr>
            <w:r>
              <w:rPr>
                <w:sz w:val="18"/>
              </w:rPr>
              <w:t>Negative</w:t>
            </w:r>
          </w:p>
        </w:tc>
        <w:tc>
          <w:tcPr>
            <w:tcW w:w="1470" w:type="dxa"/>
          </w:tcPr>
          <w:p>
            <w:pPr>
              <w:pStyle w:val="TableParagraph"/>
              <w:spacing w:line="191" w:lineRule="exact" w:before="105"/>
              <w:ind w:right="47"/>
              <w:rPr>
                <w:sz w:val="18"/>
              </w:rPr>
            </w:pPr>
            <w:r>
              <w:rPr>
                <w:sz w:val="18"/>
              </w:rPr>
              <w:t>-.074</w:t>
            </w:r>
          </w:p>
        </w:tc>
        <w:tc>
          <w:tcPr>
            <w:tcW w:w="1470" w:type="dxa"/>
          </w:tcPr>
          <w:p>
            <w:pPr>
              <w:pStyle w:val="TableParagraph"/>
              <w:spacing w:line="191" w:lineRule="exact" w:before="105"/>
              <w:ind w:right="48"/>
              <w:rPr>
                <w:sz w:val="18"/>
              </w:rPr>
            </w:pPr>
            <w:r>
              <w:rPr>
                <w:sz w:val="18"/>
              </w:rPr>
              <w:t>-.100</w:t>
            </w:r>
          </w:p>
        </w:tc>
        <w:tc>
          <w:tcPr>
            <w:tcW w:w="1470" w:type="dxa"/>
          </w:tcPr>
          <w:p>
            <w:pPr>
              <w:pStyle w:val="TableParagraph"/>
              <w:spacing w:line="191" w:lineRule="exact" w:before="105"/>
              <w:ind w:right="53"/>
              <w:rPr>
                <w:sz w:val="18"/>
              </w:rPr>
            </w:pPr>
            <w:r>
              <w:rPr>
                <w:sz w:val="18"/>
              </w:rPr>
              <w:t>-.195</w:t>
            </w:r>
          </w:p>
        </w:tc>
      </w:tr>
      <w:tr>
        <w:trPr>
          <w:trHeight w:val="321" w:hRule="atLeast"/>
        </w:trPr>
        <w:tc>
          <w:tcPr>
            <w:tcW w:w="3871" w:type="dxa"/>
            <w:gridSpan w:val="2"/>
            <w:shd w:val="clear" w:color="auto" w:fill="DFDFDF"/>
          </w:tcPr>
          <w:p>
            <w:pPr>
              <w:pStyle w:val="TableParagraph"/>
              <w:spacing w:line="191" w:lineRule="exact" w:before="110"/>
              <w:ind w:left="67"/>
              <w:jc w:val="left"/>
              <w:rPr>
                <w:sz w:val="18"/>
              </w:rPr>
            </w:pPr>
            <w:r>
              <w:rPr>
                <w:sz w:val="18"/>
              </w:rPr>
              <w:t>Test Statistic</w:t>
            </w:r>
          </w:p>
        </w:tc>
        <w:tc>
          <w:tcPr>
            <w:tcW w:w="1470" w:type="dxa"/>
          </w:tcPr>
          <w:p>
            <w:pPr>
              <w:pStyle w:val="TableParagraph"/>
              <w:spacing w:line="191" w:lineRule="exact" w:before="110"/>
              <w:ind w:right="47"/>
              <w:rPr>
                <w:sz w:val="18"/>
              </w:rPr>
            </w:pPr>
            <w:r>
              <w:rPr>
                <w:sz w:val="18"/>
              </w:rPr>
              <w:t>.158</w:t>
            </w:r>
          </w:p>
        </w:tc>
        <w:tc>
          <w:tcPr>
            <w:tcW w:w="1470" w:type="dxa"/>
          </w:tcPr>
          <w:p>
            <w:pPr>
              <w:pStyle w:val="TableParagraph"/>
              <w:spacing w:line="191" w:lineRule="exact" w:before="110"/>
              <w:ind w:right="48"/>
              <w:rPr>
                <w:sz w:val="18"/>
              </w:rPr>
            </w:pPr>
            <w:r>
              <w:rPr>
                <w:sz w:val="18"/>
              </w:rPr>
              <w:t>.100</w:t>
            </w:r>
          </w:p>
        </w:tc>
        <w:tc>
          <w:tcPr>
            <w:tcW w:w="1470" w:type="dxa"/>
          </w:tcPr>
          <w:p>
            <w:pPr>
              <w:pStyle w:val="TableParagraph"/>
              <w:spacing w:line="191" w:lineRule="exact" w:before="110"/>
              <w:ind w:right="53"/>
              <w:rPr>
                <w:sz w:val="18"/>
              </w:rPr>
            </w:pPr>
            <w:r>
              <w:rPr>
                <w:sz w:val="18"/>
              </w:rPr>
              <w:t>.278</w:t>
            </w:r>
          </w:p>
        </w:tc>
      </w:tr>
      <w:tr>
        <w:trPr>
          <w:trHeight w:val="321" w:hRule="atLeast"/>
        </w:trPr>
        <w:tc>
          <w:tcPr>
            <w:tcW w:w="3871" w:type="dxa"/>
            <w:gridSpan w:val="2"/>
            <w:shd w:val="clear" w:color="auto" w:fill="DFDFDF"/>
          </w:tcPr>
          <w:p>
            <w:pPr>
              <w:pStyle w:val="TableParagraph"/>
              <w:spacing w:line="191" w:lineRule="exact" w:before="110"/>
              <w:ind w:left="67"/>
              <w:jc w:val="left"/>
              <w:rPr>
                <w:sz w:val="18"/>
              </w:rPr>
            </w:pPr>
            <w:r>
              <w:rPr>
                <w:sz w:val="18"/>
              </w:rPr>
              <w:t>Asymp. Sig. (2-tailed)</w:t>
            </w:r>
          </w:p>
        </w:tc>
        <w:tc>
          <w:tcPr>
            <w:tcW w:w="1470" w:type="dxa"/>
          </w:tcPr>
          <w:p>
            <w:pPr>
              <w:pStyle w:val="TableParagraph"/>
              <w:spacing w:line="191" w:lineRule="exact" w:before="110"/>
              <w:ind w:right="46"/>
              <w:rPr>
                <w:sz w:val="18"/>
              </w:rPr>
            </w:pPr>
            <w:r>
              <w:rPr>
                <w:sz w:val="18"/>
              </w:rPr>
              <w:t>.276</w:t>
            </w:r>
            <w:r>
              <w:rPr>
                <w:sz w:val="18"/>
                <w:vertAlign w:val="superscript"/>
              </w:rPr>
              <w:t>c</w:t>
            </w:r>
          </w:p>
        </w:tc>
        <w:tc>
          <w:tcPr>
            <w:tcW w:w="1470" w:type="dxa"/>
          </w:tcPr>
          <w:p>
            <w:pPr>
              <w:pStyle w:val="TableParagraph"/>
              <w:spacing w:line="191" w:lineRule="exact" w:before="110"/>
              <w:ind w:right="50"/>
              <w:rPr>
                <w:sz w:val="18"/>
              </w:rPr>
            </w:pPr>
            <w:r>
              <w:rPr>
                <w:sz w:val="18"/>
              </w:rPr>
              <w:t>.200</w:t>
            </w:r>
            <w:r>
              <w:rPr>
                <w:sz w:val="18"/>
                <w:vertAlign w:val="superscript"/>
              </w:rPr>
              <w:t>c,d</w:t>
            </w:r>
          </w:p>
        </w:tc>
        <w:tc>
          <w:tcPr>
            <w:tcW w:w="1470" w:type="dxa"/>
          </w:tcPr>
          <w:p>
            <w:pPr>
              <w:pStyle w:val="TableParagraph"/>
              <w:spacing w:line="191" w:lineRule="exact" w:before="110"/>
              <w:ind w:right="53"/>
              <w:rPr>
                <w:sz w:val="18"/>
              </w:rPr>
            </w:pPr>
            <w:r>
              <w:rPr>
                <w:sz w:val="18"/>
              </w:rPr>
              <w:t>.127</w:t>
            </w:r>
            <w:r>
              <w:rPr>
                <w:sz w:val="18"/>
                <w:vertAlign w:val="superscript"/>
              </w:rPr>
              <w:t>c</w:t>
            </w:r>
          </w:p>
        </w:tc>
      </w:tr>
      <w:tr>
        <w:trPr>
          <w:trHeight w:val="321" w:hRule="atLeast"/>
        </w:trPr>
        <w:tc>
          <w:tcPr>
            <w:tcW w:w="8281" w:type="dxa"/>
            <w:gridSpan w:val="5"/>
          </w:tcPr>
          <w:p>
            <w:pPr>
              <w:pStyle w:val="TableParagraph"/>
              <w:spacing w:line="191" w:lineRule="exact" w:before="110"/>
              <w:ind w:left="67"/>
              <w:jc w:val="left"/>
              <w:rPr>
                <w:sz w:val="18"/>
              </w:rPr>
            </w:pPr>
            <w:r>
              <w:rPr>
                <w:sz w:val="18"/>
              </w:rPr>
              <w:t>a. Test distribution is Normal.</w:t>
            </w:r>
          </w:p>
        </w:tc>
      </w:tr>
      <w:tr>
        <w:trPr>
          <w:trHeight w:val="316" w:hRule="atLeast"/>
        </w:trPr>
        <w:tc>
          <w:tcPr>
            <w:tcW w:w="8281" w:type="dxa"/>
            <w:gridSpan w:val="5"/>
          </w:tcPr>
          <w:p>
            <w:pPr>
              <w:pStyle w:val="TableParagraph"/>
              <w:spacing w:line="191" w:lineRule="exact" w:before="105"/>
              <w:ind w:left="67"/>
              <w:jc w:val="left"/>
              <w:rPr>
                <w:sz w:val="18"/>
              </w:rPr>
            </w:pPr>
            <w:r>
              <w:rPr>
                <w:sz w:val="18"/>
              </w:rPr>
              <w:t>b. Calculated from data.</w:t>
            </w:r>
          </w:p>
        </w:tc>
      </w:tr>
      <w:tr>
        <w:trPr>
          <w:trHeight w:val="321" w:hRule="atLeast"/>
        </w:trPr>
        <w:tc>
          <w:tcPr>
            <w:tcW w:w="8281" w:type="dxa"/>
            <w:gridSpan w:val="5"/>
          </w:tcPr>
          <w:p>
            <w:pPr>
              <w:pStyle w:val="TableParagraph"/>
              <w:spacing w:line="191" w:lineRule="exact" w:before="110"/>
              <w:ind w:left="67"/>
              <w:jc w:val="left"/>
              <w:rPr>
                <w:sz w:val="18"/>
              </w:rPr>
            </w:pPr>
            <w:r>
              <w:rPr>
                <w:sz w:val="18"/>
              </w:rPr>
              <w:t>c. Lilliefors Significance Correction.</w:t>
            </w:r>
          </w:p>
        </w:tc>
      </w:tr>
      <w:tr>
        <w:trPr>
          <w:trHeight w:val="321" w:hRule="atLeast"/>
        </w:trPr>
        <w:tc>
          <w:tcPr>
            <w:tcW w:w="8281" w:type="dxa"/>
            <w:gridSpan w:val="5"/>
          </w:tcPr>
          <w:p>
            <w:pPr>
              <w:pStyle w:val="TableParagraph"/>
              <w:spacing w:line="191" w:lineRule="exact" w:before="110"/>
              <w:ind w:left="67"/>
              <w:jc w:val="left"/>
              <w:rPr>
                <w:sz w:val="18"/>
              </w:rPr>
            </w:pPr>
            <w:r>
              <w:rPr>
                <w:sz w:val="18"/>
              </w:rPr>
              <w:t>d. This is a lower bound of the true significance.</w:t>
            </w:r>
          </w:p>
        </w:tc>
      </w:tr>
    </w:tbl>
    <w:p>
      <w:pPr>
        <w:pStyle w:val="BodyText"/>
        <w:ind w:left="586"/>
      </w:pPr>
      <w:r>
        <w:rPr/>
        <w:t>Sumber: Olahan Data SPSS 24, 2020</w:t>
      </w:r>
    </w:p>
    <w:p>
      <w:pPr>
        <w:pStyle w:val="BodyText"/>
      </w:pPr>
    </w:p>
    <w:p>
      <w:pPr>
        <w:pStyle w:val="BodyText"/>
        <w:spacing w:line="480" w:lineRule="auto"/>
        <w:ind w:left="586" w:right="798" w:firstLine="566"/>
        <w:jc w:val="both"/>
      </w:pPr>
      <w:r>
        <w:rPr/>
        <w:t>Menurut hasil uji normalitas pada tabel di atas, tingkat signifikansi nilai Kolmogorov-Smirnov dari variabel penelitian pengembalian atas aset adalah 0,276. Untuk variabel return ekuitas, tingkat signifikansi adalah 0,200, sedangkan tingkat signifikansi dari harga saham adalah 0,127. Dengan melihat apakah nilai signifikansi uji normalitas dari tiga variabel lebih besar dari nilai alpha 0,05, dapat disimpulkan bahwa data dalam variabel ini mengikuti distribusi normal.</w:t>
      </w:r>
    </w:p>
    <w:p>
      <w:pPr>
        <w:pStyle w:val="BodyText"/>
        <w:spacing w:line="480" w:lineRule="auto" w:before="1"/>
        <w:ind w:left="586" w:right="799" w:firstLine="566"/>
        <w:jc w:val="both"/>
      </w:pPr>
      <w:r>
        <w:rPr/>
        <w:t>Cara lain untuk menentukan apakah data penelitian memiliki distribusi normal adalah dengan menggunakan peta distribusi normal. Itu bisa dilihat dari distribusi titik-titik pada diagonal grafik. Jika data didistribusikan di sekitar diagonal dan mengikuti arah diagonal, model regresi memenuhi kriteria normalitas.</w:t>
      </w:r>
    </w:p>
    <w:p>
      <w:pPr>
        <w:pStyle w:val="BodyText"/>
        <w:spacing w:line="480" w:lineRule="auto" w:before="1"/>
        <w:ind w:left="586" w:right="799" w:firstLine="566"/>
        <w:jc w:val="both"/>
      </w:pPr>
      <w:r>
        <w:rPr/>
        <w:t>Adapun hasil yang diperoleh dengan menggunakan metode propability-plot adalah sebagai berikut:</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rPr>
          <w:sz w:val="20"/>
        </w:rPr>
      </w:pPr>
    </w:p>
    <w:p>
      <w:pPr>
        <w:pStyle w:val="BodyText"/>
        <w:spacing w:before="9" w:after="1"/>
        <w:rPr>
          <w:sz w:val="15"/>
        </w:rPr>
      </w:pPr>
    </w:p>
    <w:p>
      <w:pPr>
        <w:pStyle w:val="BodyText"/>
        <w:ind w:left="1944"/>
        <w:rPr>
          <w:sz w:val="20"/>
        </w:rPr>
      </w:pPr>
      <w:r>
        <w:rPr>
          <w:sz w:val="20"/>
        </w:rPr>
        <w:drawing>
          <wp:inline distT="0" distB="0" distL="0" distR="0">
            <wp:extent cx="3427198" cy="3744467"/>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21" cstate="print"/>
                    <a:stretch>
                      <a:fillRect/>
                    </a:stretch>
                  </pic:blipFill>
                  <pic:spPr>
                    <a:xfrm>
                      <a:off x="0" y="0"/>
                      <a:ext cx="3427198" cy="3744467"/>
                    </a:xfrm>
                    <a:prstGeom prst="rect">
                      <a:avLst/>
                    </a:prstGeom>
                  </pic:spPr>
                </pic:pic>
              </a:graphicData>
            </a:graphic>
          </wp:inline>
        </w:drawing>
      </w:r>
      <w:r>
        <w:rPr>
          <w:sz w:val="20"/>
        </w:rPr>
      </w:r>
    </w:p>
    <w:p>
      <w:pPr>
        <w:pStyle w:val="BodyText"/>
        <w:rPr>
          <w:sz w:val="20"/>
        </w:rPr>
      </w:pPr>
    </w:p>
    <w:p>
      <w:pPr>
        <w:pStyle w:val="BodyText"/>
        <w:spacing w:before="8"/>
        <w:rPr>
          <w:sz w:val="18"/>
        </w:rPr>
      </w:pPr>
    </w:p>
    <w:p>
      <w:pPr>
        <w:pStyle w:val="BodyText"/>
        <w:spacing w:before="90"/>
        <w:ind w:left="1028" w:right="1217"/>
        <w:jc w:val="center"/>
      </w:pPr>
      <w:r>
        <w:rPr/>
        <w:t>Gambar 4.1 Hasil Uji Normalitas</w:t>
      </w:r>
    </w:p>
    <w:p>
      <w:pPr>
        <w:pStyle w:val="BodyText"/>
      </w:pPr>
    </w:p>
    <w:p>
      <w:pPr>
        <w:pStyle w:val="BodyText"/>
        <w:spacing w:line="480" w:lineRule="auto" w:before="1"/>
        <w:ind w:left="586" w:right="794" w:firstLine="566"/>
        <w:jc w:val="both"/>
      </w:pPr>
      <w:r>
        <w:rPr/>
        <w:t>Menurut diagram P-P normal pada gambar di atas, tampaknya titik-titik ini mengelilingi diagonal dan mengikuti arah diagonal. Oleh karena itu, dalam penelitian ini, tidak ada gangguan normal dan data memiliki distribusi normal.</w:t>
      </w:r>
    </w:p>
    <w:p>
      <w:pPr>
        <w:pStyle w:val="ListParagraph"/>
        <w:numPr>
          <w:ilvl w:val="0"/>
          <w:numId w:val="23"/>
        </w:numPr>
        <w:tabs>
          <w:tab w:pos="1153" w:val="left" w:leader="none"/>
        </w:tabs>
        <w:spacing w:line="240" w:lineRule="auto" w:before="159" w:after="0"/>
        <w:ind w:left="1153" w:right="0" w:hanging="284"/>
        <w:jc w:val="both"/>
        <w:rPr>
          <w:sz w:val="24"/>
        </w:rPr>
      </w:pPr>
      <w:r>
        <w:rPr>
          <w:sz w:val="24"/>
        </w:rPr>
        <w:t>Uji</w:t>
      </w:r>
      <w:r>
        <w:rPr>
          <w:spacing w:val="-4"/>
          <w:sz w:val="24"/>
        </w:rPr>
        <w:t> </w:t>
      </w:r>
      <w:r>
        <w:rPr>
          <w:sz w:val="24"/>
        </w:rPr>
        <w:t>Multikolinearitas</w:t>
      </w:r>
    </w:p>
    <w:p>
      <w:pPr>
        <w:pStyle w:val="BodyText"/>
      </w:pPr>
    </w:p>
    <w:p>
      <w:pPr>
        <w:pStyle w:val="BodyText"/>
        <w:spacing w:line="480" w:lineRule="auto"/>
        <w:ind w:left="586" w:right="789" w:firstLine="566"/>
        <w:jc w:val="both"/>
      </w:pPr>
      <w:r>
        <w:rPr/>
        <w:t>Multikolinieritas adalah korelasi linier antara variabel-variabel independen.Jika ada korelasi yang lebih besar, maka toleransi dan varians expansion factor (VIF) digunakan untuk multikolinieritas antara variabel-variabel independen, dan nilai VIF yang digunakan kurang dari 10. . Dapat dilihat pada tabel di bawah ini:</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before="205"/>
        <w:ind w:left="802" w:right="1014"/>
        <w:jc w:val="center"/>
      </w:pPr>
      <w:r>
        <w:rPr/>
        <w:t>Tabel 4.3 Hasil Uji Multikolinearitas</w:t>
      </w:r>
    </w:p>
    <w:p>
      <w:pPr>
        <w:pStyle w:val="BodyText"/>
        <w:spacing w:before="3"/>
      </w:pPr>
    </w:p>
    <w:tbl>
      <w:tblPr>
        <w:tblW w:w="0" w:type="auto"/>
        <w:jc w:val="left"/>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5"/>
        <w:gridCol w:w="1479"/>
        <w:gridCol w:w="1849"/>
        <w:gridCol w:w="2570"/>
      </w:tblGrid>
      <w:tr>
        <w:trPr>
          <w:trHeight w:val="398" w:hRule="atLeast"/>
        </w:trPr>
        <w:tc>
          <w:tcPr>
            <w:tcW w:w="2665" w:type="dxa"/>
            <w:shd w:val="clear" w:color="auto" w:fill="ECECEC"/>
          </w:tcPr>
          <w:p>
            <w:pPr>
              <w:pStyle w:val="TableParagraph"/>
              <w:spacing w:line="240" w:lineRule="auto" w:before="68"/>
              <w:ind w:left="657"/>
              <w:jc w:val="left"/>
              <w:rPr>
                <w:sz w:val="22"/>
              </w:rPr>
            </w:pPr>
            <w:r>
              <w:rPr>
                <w:sz w:val="22"/>
              </w:rPr>
              <w:t>Variabel Bebas</w:t>
            </w:r>
          </w:p>
        </w:tc>
        <w:tc>
          <w:tcPr>
            <w:tcW w:w="1479" w:type="dxa"/>
            <w:shd w:val="clear" w:color="auto" w:fill="ECECEC"/>
          </w:tcPr>
          <w:p>
            <w:pPr>
              <w:pStyle w:val="TableParagraph"/>
              <w:spacing w:line="240" w:lineRule="auto" w:before="68"/>
              <w:ind w:left="224" w:right="215"/>
              <w:jc w:val="center"/>
              <w:rPr>
                <w:sz w:val="22"/>
              </w:rPr>
            </w:pPr>
            <w:r>
              <w:rPr>
                <w:sz w:val="22"/>
              </w:rPr>
              <w:t>Tolenrance</w:t>
            </w:r>
          </w:p>
        </w:tc>
        <w:tc>
          <w:tcPr>
            <w:tcW w:w="1849" w:type="dxa"/>
            <w:tcBorders>
              <w:right w:val="single" w:sz="6" w:space="0" w:color="000000"/>
            </w:tcBorders>
            <w:shd w:val="clear" w:color="auto" w:fill="ECECEC"/>
          </w:tcPr>
          <w:p>
            <w:pPr>
              <w:pStyle w:val="TableParagraph"/>
              <w:spacing w:line="240" w:lineRule="auto" w:before="68"/>
              <w:ind w:left="691"/>
              <w:jc w:val="left"/>
              <w:rPr>
                <w:sz w:val="22"/>
              </w:rPr>
            </w:pPr>
            <w:r>
              <w:rPr>
                <w:sz w:val="22"/>
              </w:rPr>
              <w:t>V I F</w:t>
            </w:r>
          </w:p>
        </w:tc>
        <w:tc>
          <w:tcPr>
            <w:tcW w:w="2570" w:type="dxa"/>
            <w:tcBorders>
              <w:left w:val="single" w:sz="6" w:space="0" w:color="000000"/>
            </w:tcBorders>
            <w:shd w:val="clear" w:color="auto" w:fill="ECECEC"/>
          </w:tcPr>
          <w:p>
            <w:pPr>
              <w:pStyle w:val="TableParagraph"/>
              <w:spacing w:line="240" w:lineRule="auto" w:before="68"/>
              <w:ind w:left="332" w:right="329"/>
              <w:jc w:val="center"/>
              <w:rPr>
                <w:sz w:val="22"/>
              </w:rPr>
            </w:pPr>
            <w:r>
              <w:rPr>
                <w:sz w:val="22"/>
              </w:rPr>
              <w:t>Keterangan</w:t>
            </w:r>
          </w:p>
        </w:tc>
      </w:tr>
      <w:tr>
        <w:trPr>
          <w:trHeight w:val="393" w:hRule="atLeast"/>
        </w:trPr>
        <w:tc>
          <w:tcPr>
            <w:tcW w:w="2665" w:type="dxa"/>
          </w:tcPr>
          <w:p>
            <w:pPr>
              <w:pStyle w:val="TableParagraph"/>
              <w:spacing w:line="240" w:lineRule="auto" w:before="63"/>
              <w:ind w:left="110"/>
              <w:jc w:val="left"/>
              <w:rPr>
                <w:i/>
                <w:sz w:val="22"/>
              </w:rPr>
            </w:pPr>
            <w:r>
              <w:rPr>
                <w:i/>
                <w:sz w:val="22"/>
              </w:rPr>
              <w:t>Return on Asset</w:t>
            </w:r>
          </w:p>
        </w:tc>
        <w:tc>
          <w:tcPr>
            <w:tcW w:w="1479" w:type="dxa"/>
          </w:tcPr>
          <w:p>
            <w:pPr>
              <w:pStyle w:val="TableParagraph"/>
              <w:spacing w:line="240" w:lineRule="auto" w:before="63"/>
              <w:ind w:left="224" w:right="206"/>
              <w:jc w:val="center"/>
              <w:rPr>
                <w:sz w:val="22"/>
              </w:rPr>
            </w:pPr>
            <w:r>
              <w:rPr>
                <w:sz w:val="22"/>
              </w:rPr>
              <w:t>0,145</w:t>
            </w:r>
          </w:p>
        </w:tc>
        <w:tc>
          <w:tcPr>
            <w:tcW w:w="1849" w:type="dxa"/>
            <w:tcBorders>
              <w:right w:val="single" w:sz="6" w:space="0" w:color="000000"/>
            </w:tcBorders>
          </w:tcPr>
          <w:p>
            <w:pPr>
              <w:pStyle w:val="TableParagraph"/>
              <w:spacing w:line="240" w:lineRule="auto" w:before="63"/>
              <w:ind w:left="676"/>
              <w:jc w:val="left"/>
              <w:rPr>
                <w:sz w:val="22"/>
              </w:rPr>
            </w:pPr>
            <w:r>
              <w:rPr>
                <w:sz w:val="22"/>
              </w:rPr>
              <w:t>6,876</w:t>
            </w:r>
          </w:p>
        </w:tc>
        <w:tc>
          <w:tcPr>
            <w:tcW w:w="2570" w:type="dxa"/>
            <w:tcBorders>
              <w:left w:val="single" w:sz="6" w:space="0" w:color="000000"/>
            </w:tcBorders>
          </w:tcPr>
          <w:p>
            <w:pPr>
              <w:pStyle w:val="TableParagraph"/>
              <w:spacing w:line="240" w:lineRule="auto" w:before="63"/>
              <w:ind w:left="336" w:right="329"/>
              <w:jc w:val="center"/>
              <w:rPr>
                <w:sz w:val="22"/>
              </w:rPr>
            </w:pPr>
            <w:r>
              <w:rPr>
                <w:sz w:val="22"/>
              </w:rPr>
              <w:t>Non Multikolineritas</w:t>
            </w:r>
          </w:p>
        </w:tc>
      </w:tr>
      <w:tr>
        <w:trPr>
          <w:trHeight w:val="393" w:hRule="atLeast"/>
        </w:trPr>
        <w:tc>
          <w:tcPr>
            <w:tcW w:w="2665" w:type="dxa"/>
          </w:tcPr>
          <w:p>
            <w:pPr>
              <w:pStyle w:val="TableParagraph"/>
              <w:spacing w:line="240" w:lineRule="auto" w:before="63"/>
              <w:ind w:left="110"/>
              <w:jc w:val="left"/>
              <w:rPr>
                <w:i/>
                <w:sz w:val="22"/>
              </w:rPr>
            </w:pPr>
            <w:r>
              <w:rPr>
                <w:i/>
                <w:sz w:val="22"/>
              </w:rPr>
              <w:t>Return on Equity</w:t>
            </w:r>
          </w:p>
        </w:tc>
        <w:tc>
          <w:tcPr>
            <w:tcW w:w="1479" w:type="dxa"/>
          </w:tcPr>
          <w:p>
            <w:pPr>
              <w:pStyle w:val="TableParagraph"/>
              <w:spacing w:line="240" w:lineRule="auto" w:before="63"/>
              <w:ind w:left="224" w:right="206"/>
              <w:jc w:val="center"/>
              <w:rPr>
                <w:sz w:val="22"/>
              </w:rPr>
            </w:pPr>
            <w:r>
              <w:rPr>
                <w:sz w:val="22"/>
              </w:rPr>
              <w:t>0,145</w:t>
            </w:r>
          </w:p>
        </w:tc>
        <w:tc>
          <w:tcPr>
            <w:tcW w:w="1849" w:type="dxa"/>
            <w:tcBorders>
              <w:right w:val="single" w:sz="6" w:space="0" w:color="000000"/>
            </w:tcBorders>
          </w:tcPr>
          <w:p>
            <w:pPr>
              <w:pStyle w:val="TableParagraph"/>
              <w:spacing w:line="240" w:lineRule="auto" w:before="63"/>
              <w:ind w:left="676"/>
              <w:jc w:val="left"/>
              <w:rPr>
                <w:sz w:val="22"/>
              </w:rPr>
            </w:pPr>
            <w:r>
              <w:rPr>
                <w:sz w:val="22"/>
              </w:rPr>
              <w:t>6,876</w:t>
            </w:r>
          </w:p>
        </w:tc>
        <w:tc>
          <w:tcPr>
            <w:tcW w:w="2570" w:type="dxa"/>
            <w:tcBorders>
              <w:left w:val="single" w:sz="6" w:space="0" w:color="000000"/>
            </w:tcBorders>
          </w:tcPr>
          <w:p>
            <w:pPr>
              <w:pStyle w:val="TableParagraph"/>
              <w:spacing w:line="240" w:lineRule="auto" w:before="63"/>
              <w:ind w:left="336" w:right="329"/>
              <w:jc w:val="center"/>
              <w:rPr>
                <w:sz w:val="22"/>
              </w:rPr>
            </w:pPr>
            <w:r>
              <w:rPr>
                <w:sz w:val="22"/>
              </w:rPr>
              <w:t>Non Multikolineritas</w:t>
            </w:r>
          </w:p>
        </w:tc>
      </w:tr>
    </w:tbl>
    <w:p>
      <w:pPr>
        <w:pStyle w:val="BodyText"/>
        <w:ind w:left="586"/>
      </w:pPr>
      <w:r>
        <w:rPr/>
        <w:t>Sumber: Olahan Data SPSS 24, 2020</w:t>
      </w:r>
    </w:p>
    <w:p>
      <w:pPr>
        <w:pStyle w:val="BodyText"/>
      </w:pPr>
    </w:p>
    <w:p>
      <w:pPr>
        <w:pStyle w:val="BodyText"/>
        <w:spacing w:line="480" w:lineRule="auto"/>
        <w:ind w:left="586" w:right="796" w:firstLine="566"/>
        <w:jc w:val="both"/>
      </w:pPr>
      <w:r>
        <w:rPr/>
        <w:t>Berdasarkan hasil olahan data statistik kolinearitas terlihat bahwa tolerance </w:t>
      </w:r>
      <w:r>
        <w:rPr>
          <w:i/>
          <w:sz w:val="22"/>
        </w:rPr>
        <w:t>Return on Asset </w:t>
      </w:r>
      <w:r>
        <w:rPr/>
        <w:t>sebesar 0,145 dengan VIF sebesar 6,876 dan </w:t>
      </w:r>
      <w:r>
        <w:rPr>
          <w:i/>
          <w:sz w:val="22"/>
        </w:rPr>
        <w:t>Return on Equity </w:t>
      </w:r>
      <w:r>
        <w:rPr/>
        <w:t>dengan tolerance sebesar </w:t>
      </w:r>
      <w:r>
        <w:rPr>
          <w:sz w:val="22"/>
        </w:rPr>
        <w:t>0,145 </w:t>
      </w:r>
      <w:r>
        <w:rPr/>
        <w:t>dan VIF sebesar </w:t>
      </w:r>
      <w:r>
        <w:rPr>
          <w:sz w:val="22"/>
        </w:rPr>
        <w:t>6,876. </w:t>
      </w:r>
      <w:r>
        <w:rPr/>
        <w:t>Karena nilai VIF semua variabel tersebut kurang dari 10 berarti data yang akan digunakan dalam model regresi tidak ada persoalan multikolinearitas.</w:t>
      </w:r>
    </w:p>
    <w:p>
      <w:pPr>
        <w:pStyle w:val="ListParagraph"/>
        <w:numPr>
          <w:ilvl w:val="1"/>
          <w:numId w:val="22"/>
        </w:numPr>
        <w:tabs>
          <w:tab w:pos="1153" w:val="left" w:leader="none"/>
        </w:tabs>
        <w:spacing w:line="240" w:lineRule="auto" w:before="1" w:after="0"/>
        <w:ind w:left="1153" w:right="0" w:hanging="284"/>
        <w:jc w:val="both"/>
        <w:rPr>
          <w:sz w:val="24"/>
        </w:rPr>
      </w:pPr>
      <w:r>
        <w:rPr>
          <w:sz w:val="24"/>
        </w:rPr>
        <w:t>Uji</w:t>
      </w:r>
      <w:r>
        <w:rPr>
          <w:spacing w:val="-8"/>
          <w:sz w:val="24"/>
        </w:rPr>
        <w:t> </w:t>
      </w:r>
      <w:r>
        <w:rPr>
          <w:sz w:val="24"/>
        </w:rPr>
        <w:t>Heteroskedastisitas</w:t>
      </w:r>
    </w:p>
    <w:p>
      <w:pPr>
        <w:pStyle w:val="BodyText"/>
      </w:pPr>
    </w:p>
    <w:p>
      <w:pPr>
        <w:pStyle w:val="BodyText"/>
        <w:spacing w:line="480" w:lineRule="auto"/>
        <w:ind w:left="586" w:right="797" w:firstLine="566"/>
        <w:jc w:val="both"/>
      </w:pPr>
      <w:r>
        <w:rPr/>
        <w:t>Anda dapat menggunakan sebar sebaran untuk pengujian heteroskedastisitas. Dalam </w:t>
      </w:r>
      <w:r>
        <w:rPr>
          <w:i/>
        </w:rPr>
        <w:t>scatterplot</w:t>
      </w:r>
      <w:r>
        <w:rPr/>
        <w:t>, ada banyak titik pada sumbu X dan Y. Jika titik-titik ini tersebar dan tidak memiliki pola, mereka dikatakan tidak heteroskedastik tetapi berarti kuadrat. Dapat dilihat pada tabel di bawah</w:t>
      </w:r>
      <w:r>
        <w:rPr>
          <w:spacing w:val="-15"/>
        </w:rPr>
        <w:t> </w:t>
      </w:r>
      <w:r>
        <w:rPr/>
        <w:t>ini:</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rPr>
          <w:sz w:val="20"/>
        </w:rPr>
      </w:pPr>
    </w:p>
    <w:p>
      <w:pPr>
        <w:pStyle w:val="BodyText"/>
        <w:spacing w:before="9" w:after="1"/>
        <w:rPr>
          <w:sz w:val="15"/>
        </w:rPr>
      </w:pPr>
    </w:p>
    <w:p>
      <w:pPr>
        <w:pStyle w:val="BodyText"/>
        <w:ind w:left="790"/>
        <w:rPr>
          <w:sz w:val="20"/>
        </w:rPr>
      </w:pPr>
      <w:r>
        <w:rPr>
          <w:sz w:val="20"/>
        </w:rPr>
        <w:drawing>
          <wp:inline distT="0" distB="0" distL="0" distR="0">
            <wp:extent cx="4836514" cy="3768471"/>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22" cstate="print"/>
                    <a:stretch>
                      <a:fillRect/>
                    </a:stretch>
                  </pic:blipFill>
                  <pic:spPr>
                    <a:xfrm>
                      <a:off x="0" y="0"/>
                      <a:ext cx="4836514" cy="3768471"/>
                    </a:xfrm>
                    <a:prstGeom prst="rect">
                      <a:avLst/>
                    </a:prstGeom>
                  </pic:spPr>
                </pic:pic>
              </a:graphicData>
            </a:graphic>
          </wp:inline>
        </w:drawing>
      </w:r>
      <w:r>
        <w:rPr>
          <w:sz w:val="20"/>
        </w:rPr>
      </w:r>
    </w:p>
    <w:p>
      <w:pPr>
        <w:pStyle w:val="BodyText"/>
        <w:rPr>
          <w:sz w:val="20"/>
        </w:rPr>
      </w:pPr>
    </w:p>
    <w:p>
      <w:pPr>
        <w:pStyle w:val="BodyText"/>
        <w:spacing w:before="2"/>
        <w:rPr>
          <w:sz w:val="23"/>
        </w:rPr>
      </w:pPr>
    </w:p>
    <w:p>
      <w:pPr>
        <w:pStyle w:val="BodyText"/>
        <w:spacing w:before="1"/>
        <w:ind w:left="796" w:right="1014"/>
        <w:jc w:val="center"/>
      </w:pPr>
      <w:r>
        <w:rPr/>
        <w:t>Gambar 4.2 Hasil Uji Heteroskedastisitas</w:t>
      </w:r>
    </w:p>
    <w:p>
      <w:pPr>
        <w:pStyle w:val="BodyText"/>
        <w:spacing w:before="9"/>
        <w:rPr>
          <w:sz w:val="37"/>
        </w:rPr>
      </w:pPr>
    </w:p>
    <w:p>
      <w:pPr>
        <w:pStyle w:val="BodyText"/>
        <w:spacing w:line="480" w:lineRule="auto"/>
        <w:ind w:left="586" w:right="799" w:firstLine="566"/>
        <w:jc w:val="both"/>
      </w:pPr>
      <w:r>
        <w:rPr/>
        <w:t>Berdasarkan gambar di atas dapat dilihat bahwa titik-titik menyebar secara acak serta tersebar baik di atas maupun di bawah angka nol pada sumbu Y. Oleh karena itu maka dapat disimpulkan bahwa model regresi tidak terjadi heteroskedastisitas.</w:t>
      </w:r>
    </w:p>
    <w:p>
      <w:pPr>
        <w:pStyle w:val="ListParagraph"/>
        <w:numPr>
          <w:ilvl w:val="1"/>
          <w:numId w:val="22"/>
        </w:numPr>
        <w:tabs>
          <w:tab w:pos="1153" w:val="left" w:leader="none"/>
        </w:tabs>
        <w:spacing w:line="240" w:lineRule="auto" w:before="1" w:after="0"/>
        <w:ind w:left="1153" w:right="0" w:hanging="284"/>
        <w:jc w:val="both"/>
        <w:rPr>
          <w:sz w:val="24"/>
        </w:rPr>
      </w:pPr>
      <w:r>
        <w:rPr>
          <w:sz w:val="24"/>
        </w:rPr>
        <w:t>Uji</w:t>
      </w:r>
      <w:r>
        <w:rPr>
          <w:spacing w:val="-3"/>
          <w:sz w:val="24"/>
        </w:rPr>
        <w:t> </w:t>
      </w:r>
      <w:r>
        <w:rPr>
          <w:sz w:val="24"/>
        </w:rPr>
        <w:t>Autokorelasi</w:t>
      </w:r>
    </w:p>
    <w:p>
      <w:pPr>
        <w:pStyle w:val="BodyText"/>
      </w:pPr>
    </w:p>
    <w:p>
      <w:pPr>
        <w:pStyle w:val="BodyText"/>
        <w:spacing w:line="480" w:lineRule="auto"/>
        <w:ind w:left="586" w:right="795" w:firstLine="566"/>
        <w:jc w:val="both"/>
      </w:pPr>
      <w:r>
        <w:rPr/>
        <w:t>Tes autokorelasi digunakan untuk menentukan apakah ada penyimpangan dari hipotesis autokorelasi klasik. Autokorelasi adalah korelasi yang terjadi antara residu satu pengamatan dan residu pengamatan lain dalam model regresi. Prasyarat </w:t>
      </w:r>
      <w:r>
        <w:rPr>
          <w:spacing w:val="-3"/>
        </w:rPr>
        <w:t>yang</w:t>
      </w:r>
      <w:r>
        <w:rPr>
          <w:spacing w:val="30"/>
        </w:rPr>
        <w:t> </w:t>
      </w:r>
      <w:r>
        <w:rPr/>
        <w:t>harus dipenuhi adalah tidak ada autokorelasi dalam model regresi.</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804"/>
        <w:jc w:val="both"/>
      </w:pPr>
      <w:r>
        <w:rPr/>
        <w:t>Metode uji yang umum digunakan adalah uji Durbin Watson (uji DW) dalam kondisi berikut:</w:t>
      </w:r>
    </w:p>
    <w:p>
      <w:pPr>
        <w:pStyle w:val="ListParagraph"/>
        <w:numPr>
          <w:ilvl w:val="0"/>
          <w:numId w:val="24"/>
        </w:numPr>
        <w:tabs>
          <w:tab w:pos="1307" w:val="left" w:leader="none"/>
        </w:tabs>
        <w:spacing w:line="480" w:lineRule="auto" w:before="0" w:after="0"/>
        <w:ind w:left="1306" w:right="804" w:hanging="360"/>
        <w:jc w:val="both"/>
        <w:rPr>
          <w:sz w:val="24"/>
        </w:rPr>
      </w:pPr>
      <w:r>
        <w:rPr>
          <w:sz w:val="24"/>
        </w:rPr>
        <w:t>Jika DW kurang dari dL atau </w:t>
      </w:r>
      <w:r>
        <w:rPr>
          <w:spacing w:val="-3"/>
          <w:sz w:val="24"/>
        </w:rPr>
        <w:t>lebih </w:t>
      </w:r>
      <w:r>
        <w:rPr>
          <w:sz w:val="24"/>
        </w:rPr>
        <w:t>besar dari (4-dL), hipotesis nol ditolak, yang berarti ada</w:t>
      </w:r>
      <w:r>
        <w:rPr>
          <w:spacing w:val="-1"/>
          <w:sz w:val="24"/>
        </w:rPr>
        <w:t> </w:t>
      </w:r>
      <w:r>
        <w:rPr>
          <w:sz w:val="24"/>
        </w:rPr>
        <w:t>autokorelasi.</w:t>
      </w:r>
    </w:p>
    <w:p>
      <w:pPr>
        <w:pStyle w:val="ListParagraph"/>
        <w:numPr>
          <w:ilvl w:val="0"/>
          <w:numId w:val="24"/>
        </w:numPr>
        <w:tabs>
          <w:tab w:pos="1307" w:val="left" w:leader="none"/>
        </w:tabs>
        <w:spacing w:line="480" w:lineRule="auto" w:before="0" w:after="0"/>
        <w:ind w:left="1306" w:right="791" w:hanging="360"/>
        <w:jc w:val="both"/>
        <w:rPr>
          <w:sz w:val="24"/>
        </w:rPr>
      </w:pPr>
      <w:r>
        <w:rPr>
          <w:sz w:val="24"/>
        </w:rPr>
        <w:t>Jika DW adalah antara dU dan (4-dU), terima hipotesis nol, </w:t>
      </w:r>
      <w:r>
        <w:rPr>
          <w:spacing w:val="-3"/>
          <w:sz w:val="24"/>
        </w:rPr>
        <w:t>yang </w:t>
      </w:r>
      <w:r>
        <w:rPr>
          <w:sz w:val="24"/>
        </w:rPr>
        <w:t>berarti tidak ada</w:t>
      </w:r>
      <w:r>
        <w:rPr>
          <w:spacing w:val="2"/>
          <w:sz w:val="24"/>
        </w:rPr>
        <w:t> </w:t>
      </w:r>
      <w:r>
        <w:rPr>
          <w:sz w:val="24"/>
        </w:rPr>
        <w:t>autokorelasi.</w:t>
      </w:r>
    </w:p>
    <w:p>
      <w:pPr>
        <w:pStyle w:val="ListParagraph"/>
        <w:numPr>
          <w:ilvl w:val="0"/>
          <w:numId w:val="24"/>
        </w:numPr>
        <w:tabs>
          <w:tab w:pos="1307" w:val="left" w:leader="none"/>
        </w:tabs>
        <w:spacing w:line="480" w:lineRule="auto" w:before="0" w:after="0"/>
        <w:ind w:left="1306" w:right="799" w:hanging="360"/>
        <w:jc w:val="both"/>
        <w:rPr>
          <w:sz w:val="24"/>
        </w:rPr>
      </w:pPr>
      <w:r>
        <w:rPr>
          <w:sz w:val="24"/>
        </w:rPr>
        <w:t>Jika DW berada di antara dL dan dU atau (4-dU) dan (4-dL), tidak ada kesimpulan yang jelas yang akan ditarik. Nilai du dan dl dapat diperoleh dari tabel statistik Durbin Watson, yang tergantung pada jumlah pengamatan dan jumlah variabel penjelas. Hasil uji autokorelasi adalah sebagai</w:t>
      </w:r>
      <w:r>
        <w:rPr>
          <w:spacing w:val="-4"/>
          <w:sz w:val="24"/>
        </w:rPr>
        <w:t> </w:t>
      </w:r>
      <w:r>
        <w:rPr>
          <w:sz w:val="24"/>
        </w:rPr>
        <w:t>berikut:</w:t>
      </w:r>
    </w:p>
    <w:p>
      <w:pPr>
        <w:pStyle w:val="BodyText"/>
        <w:spacing w:before="2"/>
        <w:ind w:left="3246"/>
        <w:jc w:val="both"/>
      </w:pPr>
      <w:r>
        <w:rPr/>
        <w:t>Tabel 4.4 Hasil Uji Autokorelasi</w:t>
      </w:r>
    </w:p>
    <w:p>
      <w:pPr>
        <w:pStyle w:val="BodyText"/>
        <w:spacing w:before="3"/>
      </w:pPr>
    </w:p>
    <w:tbl>
      <w:tblPr>
        <w:tblW w:w="0" w:type="auto"/>
        <w:jc w:val="left"/>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
        <w:gridCol w:w="1023"/>
        <w:gridCol w:w="1085"/>
        <w:gridCol w:w="1470"/>
        <w:gridCol w:w="1470"/>
        <w:gridCol w:w="1470"/>
      </w:tblGrid>
      <w:tr>
        <w:trPr>
          <w:trHeight w:val="321" w:hRule="atLeast"/>
        </w:trPr>
        <w:tc>
          <w:tcPr>
            <w:tcW w:w="7315" w:type="dxa"/>
            <w:gridSpan w:val="6"/>
          </w:tcPr>
          <w:p>
            <w:pPr>
              <w:pStyle w:val="TableParagraph"/>
              <w:spacing w:line="234" w:lineRule="exact" w:before="68"/>
              <w:ind w:left="2810" w:right="2793"/>
              <w:jc w:val="center"/>
              <w:rPr>
                <w:b/>
                <w:sz w:val="22"/>
              </w:rPr>
            </w:pPr>
            <w:r>
              <w:rPr>
                <w:b/>
                <w:sz w:val="22"/>
              </w:rPr>
              <w:t>Model Summary</w:t>
            </w:r>
            <w:r>
              <w:rPr>
                <w:b/>
                <w:sz w:val="22"/>
                <w:vertAlign w:val="superscript"/>
              </w:rPr>
              <w:t>b</w:t>
            </w:r>
          </w:p>
        </w:tc>
      </w:tr>
      <w:tr>
        <w:trPr>
          <w:trHeight w:val="642" w:hRule="atLeast"/>
        </w:trPr>
        <w:tc>
          <w:tcPr>
            <w:tcW w:w="797" w:type="dxa"/>
          </w:tcPr>
          <w:p>
            <w:pPr>
              <w:pStyle w:val="TableParagraph"/>
              <w:spacing w:line="240" w:lineRule="auto"/>
              <w:jc w:val="left"/>
              <w:rPr>
                <w:sz w:val="20"/>
              </w:rPr>
            </w:pPr>
          </w:p>
          <w:p>
            <w:pPr>
              <w:pStyle w:val="TableParagraph"/>
              <w:spacing w:line="240" w:lineRule="auto" w:before="6"/>
              <w:jc w:val="left"/>
              <w:rPr>
                <w:sz w:val="17"/>
              </w:rPr>
            </w:pPr>
          </w:p>
          <w:p>
            <w:pPr>
              <w:pStyle w:val="TableParagraph"/>
              <w:spacing w:line="191" w:lineRule="exact"/>
              <w:ind w:left="71"/>
              <w:jc w:val="left"/>
              <w:rPr>
                <w:sz w:val="18"/>
              </w:rPr>
            </w:pPr>
            <w:r>
              <w:rPr>
                <w:sz w:val="18"/>
              </w:rPr>
              <w:t>Model</w:t>
            </w:r>
          </w:p>
        </w:tc>
        <w:tc>
          <w:tcPr>
            <w:tcW w:w="1023" w:type="dxa"/>
          </w:tcPr>
          <w:p>
            <w:pPr>
              <w:pStyle w:val="TableParagraph"/>
              <w:spacing w:line="240" w:lineRule="auto"/>
              <w:jc w:val="left"/>
              <w:rPr>
                <w:sz w:val="20"/>
              </w:rPr>
            </w:pPr>
          </w:p>
          <w:p>
            <w:pPr>
              <w:pStyle w:val="TableParagraph"/>
              <w:spacing w:line="240" w:lineRule="auto" w:before="6"/>
              <w:jc w:val="left"/>
              <w:rPr>
                <w:sz w:val="17"/>
              </w:rPr>
            </w:pPr>
          </w:p>
          <w:p>
            <w:pPr>
              <w:pStyle w:val="TableParagraph"/>
              <w:spacing w:line="191" w:lineRule="exact"/>
              <w:ind w:left="11"/>
              <w:jc w:val="center"/>
              <w:rPr>
                <w:sz w:val="18"/>
              </w:rPr>
            </w:pPr>
            <w:r>
              <w:rPr>
                <w:w w:val="101"/>
                <w:sz w:val="18"/>
              </w:rPr>
              <w:t>R</w:t>
            </w:r>
          </w:p>
        </w:tc>
        <w:tc>
          <w:tcPr>
            <w:tcW w:w="1085" w:type="dxa"/>
          </w:tcPr>
          <w:p>
            <w:pPr>
              <w:pStyle w:val="TableParagraph"/>
              <w:spacing w:line="240" w:lineRule="auto"/>
              <w:jc w:val="left"/>
              <w:rPr>
                <w:sz w:val="20"/>
              </w:rPr>
            </w:pPr>
          </w:p>
          <w:p>
            <w:pPr>
              <w:pStyle w:val="TableParagraph"/>
              <w:spacing w:line="240" w:lineRule="auto" w:before="6"/>
              <w:jc w:val="left"/>
              <w:rPr>
                <w:sz w:val="17"/>
              </w:rPr>
            </w:pPr>
          </w:p>
          <w:p>
            <w:pPr>
              <w:pStyle w:val="TableParagraph"/>
              <w:spacing w:line="191" w:lineRule="exact"/>
              <w:ind w:left="211"/>
              <w:jc w:val="left"/>
              <w:rPr>
                <w:sz w:val="18"/>
              </w:rPr>
            </w:pPr>
            <w:r>
              <w:rPr>
                <w:sz w:val="18"/>
              </w:rPr>
              <w:t>R Square</w:t>
            </w:r>
          </w:p>
        </w:tc>
        <w:tc>
          <w:tcPr>
            <w:tcW w:w="1470" w:type="dxa"/>
          </w:tcPr>
          <w:p>
            <w:pPr>
              <w:pStyle w:val="TableParagraph"/>
              <w:spacing w:line="322" w:lineRule="exact" w:before="20"/>
              <w:ind w:left="489" w:right="295" w:hanging="159"/>
              <w:jc w:val="left"/>
              <w:rPr>
                <w:sz w:val="18"/>
              </w:rPr>
            </w:pPr>
            <w:r>
              <w:rPr>
                <w:sz w:val="18"/>
              </w:rPr>
              <w:t>Adjusted R Square</w:t>
            </w:r>
          </w:p>
        </w:tc>
        <w:tc>
          <w:tcPr>
            <w:tcW w:w="1470" w:type="dxa"/>
          </w:tcPr>
          <w:p>
            <w:pPr>
              <w:pStyle w:val="TableParagraph"/>
              <w:spacing w:line="322" w:lineRule="exact" w:before="20"/>
              <w:ind w:left="421" w:right="118" w:hanging="269"/>
              <w:jc w:val="left"/>
              <w:rPr>
                <w:sz w:val="18"/>
              </w:rPr>
            </w:pPr>
            <w:r>
              <w:rPr>
                <w:sz w:val="18"/>
              </w:rPr>
              <w:t>Std. Error of the Estimate</w:t>
            </w:r>
          </w:p>
        </w:tc>
        <w:tc>
          <w:tcPr>
            <w:tcW w:w="1470" w:type="dxa"/>
          </w:tcPr>
          <w:p>
            <w:pPr>
              <w:pStyle w:val="TableParagraph"/>
              <w:spacing w:line="240" w:lineRule="auto"/>
              <w:jc w:val="left"/>
              <w:rPr>
                <w:sz w:val="20"/>
              </w:rPr>
            </w:pPr>
          </w:p>
          <w:p>
            <w:pPr>
              <w:pStyle w:val="TableParagraph"/>
              <w:spacing w:line="240" w:lineRule="auto" w:before="6"/>
              <w:jc w:val="left"/>
              <w:rPr>
                <w:sz w:val="17"/>
              </w:rPr>
            </w:pPr>
          </w:p>
          <w:p>
            <w:pPr>
              <w:pStyle w:val="TableParagraph"/>
              <w:spacing w:line="191" w:lineRule="exact"/>
              <w:ind w:left="176"/>
              <w:jc w:val="left"/>
              <w:rPr>
                <w:sz w:val="18"/>
              </w:rPr>
            </w:pPr>
            <w:r>
              <w:rPr>
                <w:sz w:val="18"/>
              </w:rPr>
              <w:t>Durbin-Watson</w:t>
            </w:r>
          </w:p>
        </w:tc>
      </w:tr>
      <w:tr>
        <w:trPr>
          <w:trHeight w:val="295" w:hRule="atLeast"/>
        </w:trPr>
        <w:tc>
          <w:tcPr>
            <w:tcW w:w="797" w:type="dxa"/>
            <w:shd w:val="clear" w:color="auto" w:fill="DFDFDF"/>
          </w:tcPr>
          <w:p>
            <w:pPr>
              <w:pStyle w:val="TableParagraph"/>
              <w:spacing w:line="191" w:lineRule="exact" w:before="84"/>
              <w:ind w:left="71"/>
              <w:jc w:val="left"/>
              <w:rPr>
                <w:sz w:val="18"/>
              </w:rPr>
            </w:pPr>
            <w:r>
              <w:rPr>
                <w:w w:val="101"/>
                <w:sz w:val="18"/>
              </w:rPr>
              <w:t>1</w:t>
            </w:r>
          </w:p>
        </w:tc>
        <w:tc>
          <w:tcPr>
            <w:tcW w:w="1023" w:type="dxa"/>
          </w:tcPr>
          <w:p>
            <w:pPr>
              <w:pStyle w:val="TableParagraph"/>
              <w:spacing w:line="191" w:lineRule="exact" w:before="84"/>
              <w:ind w:left="590"/>
              <w:jc w:val="left"/>
              <w:rPr>
                <w:sz w:val="18"/>
              </w:rPr>
            </w:pPr>
            <w:r>
              <w:rPr>
                <w:sz w:val="18"/>
              </w:rPr>
              <w:t>.597</w:t>
            </w:r>
            <w:r>
              <w:rPr>
                <w:sz w:val="18"/>
                <w:vertAlign w:val="superscript"/>
              </w:rPr>
              <w:t>a</w:t>
            </w:r>
          </w:p>
        </w:tc>
        <w:tc>
          <w:tcPr>
            <w:tcW w:w="1085" w:type="dxa"/>
          </w:tcPr>
          <w:p>
            <w:pPr>
              <w:pStyle w:val="TableParagraph"/>
              <w:spacing w:line="191" w:lineRule="exact" w:before="84"/>
              <w:ind w:left="705"/>
              <w:jc w:val="left"/>
              <w:rPr>
                <w:sz w:val="18"/>
              </w:rPr>
            </w:pPr>
            <w:r>
              <w:rPr>
                <w:sz w:val="18"/>
              </w:rPr>
              <w:t>.356</w:t>
            </w:r>
          </w:p>
        </w:tc>
        <w:tc>
          <w:tcPr>
            <w:tcW w:w="1470" w:type="dxa"/>
          </w:tcPr>
          <w:p>
            <w:pPr>
              <w:pStyle w:val="TableParagraph"/>
              <w:spacing w:line="191" w:lineRule="exact" w:before="84"/>
              <w:ind w:right="46"/>
              <w:rPr>
                <w:sz w:val="18"/>
              </w:rPr>
            </w:pPr>
            <w:r>
              <w:rPr>
                <w:sz w:val="18"/>
              </w:rPr>
              <w:t>.316</w:t>
            </w:r>
          </w:p>
        </w:tc>
        <w:tc>
          <w:tcPr>
            <w:tcW w:w="1470" w:type="dxa"/>
          </w:tcPr>
          <w:p>
            <w:pPr>
              <w:pStyle w:val="TableParagraph"/>
              <w:spacing w:line="191" w:lineRule="exact" w:before="84"/>
              <w:ind w:left="551"/>
              <w:jc w:val="left"/>
              <w:rPr>
                <w:sz w:val="18"/>
              </w:rPr>
            </w:pPr>
            <w:r>
              <w:rPr>
                <w:sz w:val="18"/>
              </w:rPr>
              <w:t>6899.82809</w:t>
            </w:r>
          </w:p>
        </w:tc>
        <w:tc>
          <w:tcPr>
            <w:tcW w:w="1470" w:type="dxa"/>
          </w:tcPr>
          <w:p>
            <w:pPr>
              <w:pStyle w:val="TableParagraph"/>
              <w:spacing w:line="191" w:lineRule="exact" w:before="84"/>
              <w:ind w:right="52"/>
              <w:rPr>
                <w:sz w:val="18"/>
              </w:rPr>
            </w:pPr>
            <w:r>
              <w:rPr>
                <w:sz w:val="18"/>
              </w:rPr>
              <w:t>2.229</w:t>
            </w:r>
          </w:p>
        </w:tc>
      </w:tr>
      <w:tr>
        <w:trPr>
          <w:trHeight w:val="321" w:hRule="atLeast"/>
        </w:trPr>
        <w:tc>
          <w:tcPr>
            <w:tcW w:w="7315" w:type="dxa"/>
            <w:gridSpan w:val="6"/>
          </w:tcPr>
          <w:p>
            <w:pPr>
              <w:pStyle w:val="TableParagraph"/>
              <w:spacing w:line="191" w:lineRule="exact" w:before="110"/>
              <w:ind w:left="71"/>
              <w:jc w:val="left"/>
              <w:rPr>
                <w:sz w:val="18"/>
              </w:rPr>
            </w:pPr>
            <w:r>
              <w:rPr>
                <w:sz w:val="18"/>
              </w:rPr>
              <w:t>a. Predictors: (Constant), Return On Equity, Return On Asset</w:t>
            </w:r>
          </w:p>
        </w:tc>
      </w:tr>
      <w:tr>
        <w:trPr>
          <w:trHeight w:val="321" w:hRule="atLeast"/>
        </w:trPr>
        <w:tc>
          <w:tcPr>
            <w:tcW w:w="7315" w:type="dxa"/>
            <w:gridSpan w:val="6"/>
          </w:tcPr>
          <w:p>
            <w:pPr>
              <w:pStyle w:val="TableParagraph"/>
              <w:spacing w:line="191" w:lineRule="exact" w:before="110"/>
              <w:ind w:left="71"/>
              <w:jc w:val="left"/>
              <w:rPr>
                <w:sz w:val="18"/>
              </w:rPr>
            </w:pPr>
            <w:r>
              <w:rPr>
                <w:sz w:val="18"/>
              </w:rPr>
              <w:t>b. Dependent Variable: Harga Saham</w:t>
            </w:r>
          </w:p>
        </w:tc>
      </w:tr>
    </w:tbl>
    <w:p>
      <w:pPr>
        <w:pStyle w:val="BodyText"/>
        <w:ind w:left="1153"/>
      </w:pPr>
      <w:r>
        <w:rPr/>
        <w:t>Sumber: Olahan Data SPSS 24, 2020</w:t>
      </w:r>
    </w:p>
    <w:p>
      <w:pPr>
        <w:pStyle w:val="BodyText"/>
      </w:pPr>
    </w:p>
    <w:p>
      <w:pPr>
        <w:pStyle w:val="BodyText"/>
        <w:spacing w:line="480" w:lineRule="auto"/>
        <w:ind w:left="586" w:right="792" w:firstLine="566"/>
        <w:jc w:val="both"/>
      </w:pPr>
      <w:r>
        <w:rPr/>
        <w:t>Dari hasil pengolahan data </w:t>
      </w:r>
      <w:r>
        <w:rPr>
          <w:i/>
        </w:rPr>
        <w:t>SPSS 24 </w:t>
      </w:r>
      <w:r>
        <w:rPr/>
        <w:t>menunjukan bahwa nilai Durbin  Watson sebesar dW = 2,229. Dengan diketahui nilai n (Jumlah Sampel) = 35, k (Jumlah Variabel bebas) = 2, nilai dL (batas bawah) = 1,34 dan dU (batas atas) = 1,58. Maka dapat dihitung (4-dU) </w:t>
      </w:r>
      <w:r>
        <w:rPr>
          <w:spacing w:val="-3"/>
        </w:rPr>
        <w:t>yaitu </w:t>
      </w:r>
      <w:r>
        <w:rPr/>
        <w:t>4 - 1,58 = 2,42. Karena nilai dU = 1,58 &lt; 2,229 &lt; 2,42 berarti dapat disimpulkan bahwa data regresi tidak memiliki autokorelasi.</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Heading3"/>
        <w:numPr>
          <w:ilvl w:val="2"/>
          <w:numId w:val="21"/>
        </w:numPr>
        <w:tabs>
          <w:tab w:pos="1153" w:val="left" w:leader="none"/>
        </w:tabs>
        <w:spacing w:line="240" w:lineRule="auto" w:before="209" w:after="0"/>
        <w:ind w:left="1153" w:right="0" w:hanging="567"/>
        <w:jc w:val="both"/>
      </w:pPr>
      <w:r>
        <w:rPr/>
        <w:t>Hasil Analisis Regresi</w:t>
      </w:r>
      <w:r>
        <w:rPr>
          <w:spacing w:val="-1"/>
        </w:rPr>
        <w:t> </w:t>
      </w:r>
      <w:r>
        <w:rPr/>
        <w:t>Berganda</w:t>
      </w:r>
    </w:p>
    <w:p>
      <w:pPr>
        <w:pStyle w:val="BodyText"/>
        <w:spacing w:before="7"/>
        <w:rPr>
          <w:b/>
          <w:sz w:val="23"/>
        </w:rPr>
      </w:pPr>
    </w:p>
    <w:p>
      <w:pPr>
        <w:pStyle w:val="BodyText"/>
        <w:spacing w:line="480" w:lineRule="auto"/>
        <w:ind w:left="586" w:right="787" w:firstLine="566"/>
        <w:jc w:val="both"/>
      </w:pPr>
      <w:r>
        <w:rPr/>
        <w:t>Analisis regresi linier berganda digunakan untuk mengukur apakah laba atas aset dan laba atas industri semen yang terdaftar di Bursa Efek Indonesia terpengaruh. Tabel berikut menunjukkan hasil dari data regresi yang diproses:</w:t>
      </w:r>
    </w:p>
    <w:p>
      <w:pPr>
        <w:pStyle w:val="BodyText"/>
        <w:spacing w:before="1"/>
        <w:ind w:left="3294"/>
        <w:jc w:val="both"/>
      </w:pPr>
      <w:r>
        <w:rPr/>
        <w:t>Tabel 4.5 Uji Regresi Berganda</w:t>
      </w:r>
    </w:p>
    <w:p>
      <w:pPr>
        <w:pStyle w:val="BodyText"/>
        <w:rPr>
          <w:sz w:val="20"/>
        </w:rPr>
      </w:pPr>
    </w:p>
    <w:p>
      <w:pPr>
        <w:pStyle w:val="BodyText"/>
        <w:spacing w:before="5"/>
        <w:rPr>
          <w:sz w:val="18"/>
        </w:rPr>
      </w:pPr>
    </w:p>
    <w:tbl>
      <w:tblPr>
        <w:tblW w:w="0" w:type="auto"/>
        <w:jc w:val="left"/>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695"/>
        <w:gridCol w:w="1334"/>
        <w:gridCol w:w="1329"/>
        <w:gridCol w:w="1468"/>
        <w:gridCol w:w="1026"/>
        <w:gridCol w:w="1021"/>
      </w:tblGrid>
      <w:tr>
        <w:trPr>
          <w:trHeight w:val="321" w:hRule="atLeast"/>
        </w:trPr>
        <w:tc>
          <w:tcPr>
            <w:tcW w:w="8607" w:type="dxa"/>
            <w:gridSpan w:val="7"/>
          </w:tcPr>
          <w:p>
            <w:pPr>
              <w:pStyle w:val="TableParagraph"/>
              <w:spacing w:line="233" w:lineRule="exact" w:before="68"/>
              <w:ind w:left="3694" w:right="3680"/>
              <w:jc w:val="center"/>
              <w:rPr>
                <w:b/>
                <w:sz w:val="22"/>
              </w:rPr>
            </w:pPr>
            <w:r>
              <w:rPr>
                <w:b/>
                <w:sz w:val="22"/>
              </w:rPr>
              <w:t>Coefficients</w:t>
            </w:r>
            <w:r>
              <w:rPr>
                <w:b/>
                <w:sz w:val="22"/>
                <w:vertAlign w:val="superscript"/>
              </w:rPr>
              <w:t>a</w:t>
            </w:r>
          </w:p>
        </w:tc>
      </w:tr>
      <w:tr>
        <w:trPr>
          <w:trHeight w:val="638" w:hRule="atLeast"/>
        </w:trPr>
        <w:tc>
          <w:tcPr>
            <w:tcW w:w="2429" w:type="dxa"/>
            <w:gridSpan w:val="2"/>
            <w:vMerge w:val="restart"/>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1"/>
              <w:jc w:val="left"/>
              <w:rPr>
                <w:sz w:val="25"/>
              </w:rPr>
            </w:pPr>
          </w:p>
          <w:p>
            <w:pPr>
              <w:pStyle w:val="TableParagraph"/>
              <w:spacing w:line="191" w:lineRule="exact"/>
              <w:ind w:left="67"/>
              <w:jc w:val="left"/>
              <w:rPr>
                <w:sz w:val="18"/>
              </w:rPr>
            </w:pPr>
            <w:r>
              <w:rPr>
                <w:sz w:val="18"/>
              </w:rPr>
              <w:t>Model</w:t>
            </w:r>
          </w:p>
        </w:tc>
        <w:tc>
          <w:tcPr>
            <w:tcW w:w="2663" w:type="dxa"/>
            <w:gridSpan w:val="2"/>
          </w:tcPr>
          <w:p>
            <w:pPr>
              <w:pStyle w:val="TableParagraph"/>
              <w:spacing w:line="240" w:lineRule="auto"/>
              <w:jc w:val="left"/>
              <w:rPr>
                <w:sz w:val="20"/>
              </w:rPr>
            </w:pPr>
          </w:p>
          <w:p>
            <w:pPr>
              <w:pStyle w:val="TableParagraph"/>
              <w:spacing w:line="240" w:lineRule="auto" w:before="2"/>
              <w:jc w:val="left"/>
              <w:rPr>
                <w:sz w:val="17"/>
              </w:rPr>
            </w:pPr>
          </w:p>
          <w:p>
            <w:pPr>
              <w:pStyle w:val="TableParagraph"/>
              <w:spacing w:line="191" w:lineRule="exact"/>
              <w:ind w:left="307"/>
              <w:jc w:val="left"/>
              <w:rPr>
                <w:sz w:val="18"/>
              </w:rPr>
            </w:pPr>
            <w:r>
              <w:rPr>
                <w:sz w:val="18"/>
              </w:rPr>
              <w:t>Unstandardized Coefficients</w:t>
            </w:r>
          </w:p>
        </w:tc>
        <w:tc>
          <w:tcPr>
            <w:tcW w:w="1468" w:type="dxa"/>
          </w:tcPr>
          <w:p>
            <w:pPr>
              <w:pStyle w:val="TableParagraph"/>
              <w:spacing w:line="322" w:lineRule="exact" w:before="16"/>
              <w:ind w:left="300" w:right="227" w:hanging="29"/>
              <w:jc w:val="left"/>
              <w:rPr>
                <w:sz w:val="18"/>
              </w:rPr>
            </w:pPr>
            <w:r>
              <w:rPr>
                <w:sz w:val="18"/>
              </w:rPr>
              <w:t>Standardized Coefficients</w:t>
            </w:r>
          </w:p>
        </w:tc>
        <w:tc>
          <w:tcPr>
            <w:tcW w:w="1026" w:type="dxa"/>
            <w:vMerge w:val="restart"/>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1"/>
              <w:jc w:val="left"/>
              <w:rPr>
                <w:sz w:val="25"/>
              </w:rPr>
            </w:pPr>
          </w:p>
          <w:p>
            <w:pPr>
              <w:pStyle w:val="TableParagraph"/>
              <w:spacing w:line="191" w:lineRule="exact"/>
              <w:ind w:left="24"/>
              <w:jc w:val="center"/>
              <w:rPr>
                <w:sz w:val="18"/>
              </w:rPr>
            </w:pPr>
            <w:r>
              <w:rPr>
                <w:w w:val="101"/>
                <w:sz w:val="18"/>
              </w:rPr>
              <w:t>T</w:t>
            </w:r>
          </w:p>
        </w:tc>
        <w:tc>
          <w:tcPr>
            <w:tcW w:w="1021" w:type="dxa"/>
            <w:vMerge w:val="restart"/>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1"/>
              <w:jc w:val="left"/>
              <w:rPr>
                <w:sz w:val="25"/>
              </w:rPr>
            </w:pPr>
          </w:p>
          <w:p>
            <w:pPr>
              <w:pStyle w:val="TableParagraph"/>
              <w:spacing w:line="191" w:lineRule="exact"/>
              <w:ind w:left="354" w:right="330"/>
              <w:jc w:val="center"/>
              <w:rPr>
                <w:sz w:val="18"/>
              </w:rPr>
            </w:pPr>
            <w:r>
              <w:rPr>
                <w:sz w:val="18"/>
              </w:rPr>
              <w:t>Sig.</w:t>
            </w:r>
          </w:p>
        </w:tc>
      </w:tr>
      <w:tr>
        <w:trPr>
          <w:trHeight w:val="300" w:hRule="atLeast"/>
        </w:trPr>
        <w:tc>
          <w:tcPr>
            <w:tcW w:w="2429" w:type="dxa"/>
            <w:gridSpan w:val="2"/>
            <w:vMerge/>
            <w:tcBorders>
              <w:top w:val="nil"/>
            </w:tcBorders>
          </w:tcPr>
          <w:p>
            <w:pPr>
              <w:rPr>
                <w:sz w:val="2"/>
                <w:szCs w:val="2"/>
              </w:rPr>
            </w:pPr>
          </w:p>
        </w:tc>
        <w:tc>
          <w:tcPr>
            <w:tcW w:w="1334" w:type="dxa"/>
          </w:tcPr>
          <w:p>
            <w:pPr>
              <w:pStyle w:val="TableParagraph"/>
              <w:spacing w:line="191" w:lineRule="exact" w:before="88"/>
              <w:ind w:left="610"/>
              <w:jc w:val="left"/>
              <w:rPr>
                <w:sz w:val="18"/>
              </w:rPr>
            </w:pPr>
            <w:r>
              <w:rPr>
                <w:w w:val="101"/>
                <w:sz w:val="18"/>
              </w:rPr>
              <w:t>B</w:t>
            </w:r>
          </w:p>
        </w:tc>
        <w:tc>
          <w:tcPr>
            <w:tcW w:w="1329" w:type="dxa"/>
          </w:tcPr>
          <w:p>
            <w:pPr>
              <w:pStyle w:val="TableParagraph"/>
              <w:spacing w:line="191" w:lineRule="exact" w:before="88"/>
              <w:ind w:left="313"/>
              <w:jc w:val="left"/>
              <w:rPr>
                <w:sz w:val="18"/>
              </w:rPr>
            </w:pPr>
            <w:r>
              <w:rPr>
                <w:sz w:val="18"/>
              </w:rPr>
              <w:t>Std. Error</w:t>
            </w:r>
          </w:p>
        </w:tc>
        <w:tc>
          <w:tcPr>
            <w:tcW w:w="1468" w:type="dxa"/>
          </w:tcPr>
          <w:p>
            <w:pPr>
              <w:pStyle w:val="TableParagraph"/>
              <w:spacing w:line="191" w:lineRule="exact" w:before="88"/>
              <w:ind w:left="556" w:right="532"/>
              <w:jc w:val="center"/>
              <w:rPr>
                <w:sz w:val="18"/>
              </w:rPr>
            </w:pPr>
            <w:r>
              <w:rPr>
                <w:sz w:val="18"/>
              </w:rPr>
              <w:t>Beta</w:t>
            </w:r>
          </w:p>
        </w:tc>
        <w:tc>
          <w:tcPr>
            <w:tcW w:w="1026" w:type="dxa"/>
            <w:vMerge/>
            <w:tcBorders>
              <w:top w:val="nil"/>
            </w:tcBorders>
          </w:tcPr>
          <w:p>
            <w:pPr>
              <w:rPr>
                <w:sz w:val="2"/>
                <w:szCs w:val="2"/>
              </w:rPr>
            </w:pPr>
          </w:p>
        </w:tc>
        <w:tc>
          <w:tcPr>
            <w:tcW w:w="1021" w:type="dxa"/>
            <w:vMerge/>
            <w:tcBorders>
              <w:top w:val="nil"/>
            </w:tcBorders>
          </w:tcPr>
          <w:p>
            <w:pPr>
              <w:rPr>
                <w:sz w:val="2"/>
                <w:szCs w:val="2"/>
              </w:rPr>
            </w:pPr>
          </w:p>
        </w:tc>
      </w:tr>
      <w:tr>
        <w:trPr>
          <w:trHeight w:val="316" w:hRule="atLeast"/>
        </w:trPr>
        <w:tc>
          <w:tcPr>
            <w:tcW w:w="734" w:type="dxa"/>
            <w:vMerge w:val="restart"/>
            <w:shd w:val="clear" w:color="auto" w:fill="DFDFDF"/>
          </w:tcPr>
          <w:p>
            <w:pPr>
              <w:pStyle w:val="TableParagraph"/>
              <w:spacing w:line="240" w:lineRule="auto" w:before="105"/>
              <w:ind w:left="67"/>
              <w:jc w:val="left"/>
              <w:rPr>
                <w:sz w:val="18"/>
              </w:rPr>
            </w:pPr>
            <w:r>
              <w:rPr>
                <w:w w:val="101"/>
                <w:sz w:val="18"/>
              </w:rPr>
              <w:t>1</w:t>
            </w:r>
          </w:p>
        </w:tc>
        <w:tc>
          <w:tcPr>
            <w:tcW w:w="1695" w:type="dxa"/>
            <w:shd w:val="clear" w:color="auto" w:fill="DFDFDF"/>
          </w:tcPr>
          <w:p>
            <w:pPr>
              <w:pStyle w:val="TableParagraph"/>
              <w:spacing w:line="191" w:lineRule="exact" w:before="105"/>
              <w:ind w:left="67"/>
              <w:jc w:val="left"/>
              <w:rPr>
                <w:sz w:val="18"/>
              </w:rPr>
            </w:pPr>
            <w:r>
              <w:rPr>
                <w:sz w:val="18"/>
              </w:rPr>
              <w:t>(Constant)</w:t>
            </w:r>
          </w:p>
        </w:tc>
        <w:tc>
          <w:tcPr>
            <w:tcW w:w="1334" w:type="dxa"/>
          </w:tcPr>
          <w:p>
            <w:pPr>
              <w:pStyle w:val="TableParagraph"/>
              <w:spacing w:line="191" w:lineRule="exact" w:before="105"/>
              <w:ind w:left="595"/>
              <w:jc w:val="left"/>
              <w:rPr>
                <w:sz w:val="18"/>
              </w:rPr>
            </w:pPr>
            <w:r>
              <w:rPr>
                <w:sz w:val="18"/>
              </w:rPr>
              <w:t>2634.939</w:t>
            </w:r>
          </w:p>
        </w:tc>
        <w:tc>
          <w:tcPr>
            <w:tcW w:w="1329" w:type="dxa"/>
          </w:tcPr>
          <w:p>
            <w:pPr>
              <w:pStyle w:val="TableParagraph"/>
              <w:spacing w:line="191" w:lineRule="exact" w:before="105"/>
              <w:ind w:right="43"/>
              <w:rPr>
                <w:sz w:val="18"/>
              </w:rPr>
            </w:pPr>
            <w:r>
              <w:rPr>
                <w:sz w:val="18"/>
              </w:rPr>
              <w:t>1877.088</w:t>
            </w:r>
          </w:p>
        </w:tc>
        <w:tc>
          <w:tcPr>
            <w:tcW w:w="1468" w:type="dxa"/>
          </w:tcPr>
          <w:p>
            <w:pPr>
              <w:pStyle w:val="TableParagraph"/>
              <w:spacing w:line="240" w:lineRule="auto"/>
              <w:jc w:val="left"/>
              <w:rPr>
                <w:sz w:val="22"/>
              </w:rPr>
            </w:pPr>
          </w:p>
        </w:tc>
        <w:tc>
          <w:tcPr>
            <w:tcW w:w="1026" w:type="dxa"/>
          </w:tcPr>
          <w:p>
            <w:pPr>
              <w:pStyle w:val="TableParagraph"/>
              <w:spacing w:line="191" w:lineRule="exact" w:before="105"/>
              <w:ind w:right="40"/>
              <w:rPr>
                <w:sz w:val="18"/>
              </w:rPr>
            </w:pPr>
            <w:r>
              <w:rPr>
                <w:sz w:val="18"/>
              </w:rPr>
              <w:t>1.404</w:t>
            </w:r>
          </w:p>
        </w:tc>
        <w:tc>
          <w:tcPr>
            <w:tcW w:w="1021" w:type="dxa"/>
          </w:tcPr>
          <w:p>
            <w:pPr>
              <w:pStyle w:val="TableParagraph"/>
              <w:spacing w:line="191" w:lineRule="exact" w:before="105"/>
              <w:ind w:right="39"/>
              <w:rPr>
                <w:sz w:val="18"/>
              </w:rPr>
            </w:pPr>
            <w:r>
              <w:rPr>
                <w:sz w:val="18"/>
              </w:rPr>
              <w:t>.170</w:t>
            </w:r>
          </w:p>
        </w:tc>
      </w:tr>
      <w:tr>
        <w:trPr>
          <w:trHeight w:val="321" w:hRule="atLeast"/>
        </w:trPr>
        <w:tc>
          <w:tcPr>
            <w:tcW w:w="734" w:type="dxa"/>
            <w:vMerge/>
            <w:tcBorders>
              <w:top w:val="nil"/>
            </w:tcBorders>
            <w:shd w:val="clear" w:color="auto" w:fill="DFDFDF"/>
          </w:tcPr>
          <w:p>
            <w:pPr>
              <w:rPr>
                <w:sz w:val="2"/>
                <w:szCs w:val="2"/>
              </w:rPr>
            </w:pPr>
          </w:p>
        </w:tc>
        <w:tc>
          <w:tcPr>
            <w:tcW w:w="1695" w:type="dxa"/>
            <w:shd w:val="clear" w:color="auto" w:fill="DFDFDF"/>
          </w:tcPr>
          <w:p>
            <w:pPr>
              <w:pStyle w:val="TableParagraph"/>
              <w:spacing w:line="191" w:lineRule="exact" w:before="110"/>
              <w:ind w:left="67"/>
              <w:jc w:val="left"/>
              <w:rPr>
                <w:sz w:val="18"/>
              </w:rPr>
            </w:pPr>
            <w:r>
              <w:rPr>
                <w:sz w:val="18"/>
              </w:rPr>
              <w:t>Return On Asset</w:t>
            </w:r>
          </w:p>
        </w:tc>
        <w:tc>
          <w:tcPr>
            <w:tcW w:w="1334" w:type="dxa"/>
          </w:tcPr>
          <w:p>
            <w:pPr>
              <w:pStyle w:val="TableParagraph"/>
              <w:spacing w:line="191" w:lineRule="exact" w:before="110"/>
              <w:ind w:left="595"/>
              <w:jc w:val="left"/>
              <w:rPr>
                <w:sz w:val="18"/>
              </w:rPr>
            </w:pPr>
            <w:r>
              <w:rPr>
                <w:sz w:val="18"/>
              </w:rPr>
              <w:t>1312.285</w:t>
            </w:r>
          </w:p>
        </w:tc>
        <w:tc>
          <w:tcPr>
            <w:tcW w:w="1329" w:type="dxa"/>
          </w:tcPr>
          <w:p>
            <w:pPr>
              <w:pStyle w:val="TableParagraph"/>
              <w:spacing w:line="191" w:lineRule="exact" w:before="110"/>
              <w:ind w:right="43"/>
              <w:rPr>
                <w:sz w:val="18"/>
              </w:rPr>
            </w:pPr>
            <w:r>
              <w:rPr>
                <w:sz w:val="18"/>
              </w:rPr>
              <w:t>435.675</w:t>
            </w:r>
          </w:p>
        </w:tc>
        <w:tc>
          <w:tcPr>
            <w:tcW w:w="1468" w:type="dxa"/>
          </w:tcPr>
          <w:p>
            <w:pPr>
              <w:pStyle w:val="TableParagraph"/>
              <w:spacing w:line="191" w:lineRule="exact" w:before="110"/>
              <w:ind w:right="41"/>
              <w:rPr>
                <w:sz w:val="18"/>
              </w:rPr>
            </w:pPr>
            <w:r>
              <w:rPr>
                <w:sz w:val="18"/>
              </w:rPr>
              <w:t>1.120</w:t>
            </w:r>
          </w:p>
        </w:tc>
        <w:tc>
          <w:tcPr>
            <w:tcW w:w="1026" w:type="dxa"/>
          </w:tcPr>
          <w:p>
            <w:pPr>
              <w:pStyle w:val="TableParagraph"/>
              <w:spacing w:line="191" w:lineRule="exact" w:before="110"/>
              <w:ind w:right="40"/>
              <w:rPr>
                <w:sz w:val="18"/>
              </w:rPr>
            </w:pPr>
            <w:r>
              <w:rPr>
                <w:sz w:val="18"/>
              </w:rPr>
              <w:t>3.012</w:t>
            </w:r>
          </w:p>
        </w:tc>
        <w:tc>
          <w:tcPr>
            <w:tcW w:w="1021" w:type="dxa"/>
          </w:tcPr>
          <w:p>
            <w:pPr>
              <w:pStyle w:val="TableParagraph"/>
              <w:spacing w:line="191" w:lineRule="exact" w:before="110"/>
              <w:ind w:right="39"/>
              <w:rPr>
                <w:sz w:val="18"/>
              </w:rPr>
            </w:pPr>
            <w:r>
              <w:rPr>
                <w:sz w:val="18"/>
              </w:rPr>
              <w:t>.005</w:t>
            </w:r>
          </w:p>
        </w:tc>
      </w:tr>
      <w:tr>
        <w:trPr>
          <w:trHeight w:val="321" w:hRule="atLeast"/>
        </w:trPr>
        <w:tc>
          <w:tcPr>
            <w:tcW w:w="734" w:type="dxa"/>
            <w:vMerge/>
            <w:tcBorders>
              <w:top w:val="nil"/>
            </w:tcBorders>
            <w:shd w:val="clear" w:color="auto" w:fill="DFDFDF"/>
          </w:tcPr>
          <w:p>
            <w:pPr>
              <w:rPr>
                <w:sz w:val="2"/>
                <w:szCs w:val="2"/>
              </w:rPr>
            </w:pPr>
          </w:p>
        </w:tc>
        <w:tc>
          <w:tcPr>
            <w:tcW w:w="1695" w:type="dxa"/>
            <w:shd w:val="clear" w:color="auto" w:fill="DFDFDF"/>
          </w:tcPr>
          <w:p>
            <w:pPr>
              <w:pStyle w:val="TableParagraph"/>
              <w:spacing w:line="191" w:lineRule="exact" w:before="110"/>
              <w:ind w:left="67"/>
              <w:jc w:val="left"/>
              <w:rPr>
                <w:sz w:val="18"/>
              </w:rPr>
            </w:pPr>
            <w:r>
              <w:rPr>
                <w:sz w:val="18"/>
              </w:rPr>
              <w:t>Return On Equity</w:t>
            </w:r>
          </w:p>
        </w:tc>
        <w:tc>
          <w:tcPr>
            <w:tcW w:w="1334" w:type="dxa"/>
          </w:tcPr>
          <w:p>
            <w:pPr>
              <w:pStyle w:val="TableParagraph"/>
              <w:spacing w:line="191" w:lineRule="exact" w:before="110"/>
              <w:ind w:left="629"/>
              <w:jc w:val="left"/>
              <w:rPr>
                <w:sz w:val="18"/>
              </w:rPr>
            </w:pPr>
            <w:r>
              <w:rPr>
                <w:sz w:val="18"/>
              </w:rPr>
              <w:t>-538.362</w:t>
            </w:r>
          </w:p>
        </w:tc>
        <w:tc>
          <w:tcPr>
            <w:tcW w:w="1329" w:type="dxa"/>
          </w:tcPr>
          <w:p>
            <w:pPr>
              <w:pStyle w:val="TableParagraph"/>
              <w:spacing w:line="191" w:lineRule="exact" w:before="110"/>
              <w:ind w:right="43"/>
              <w:rPr>
                <w:sz w:val="18"/>
              </w:rPr>
            </w:pPr>
            <w:r>
              <w:rPr>
                <w:sz w:val="18"/>
              </w:rPr>
              <w:t>323.590</w:t>
            </w:r>
          </w:p>
        </w:tc>
        <w:tc>
          <w:tcPr>
            <w:tcW w:w="1468" w:type="dxa"/>
          </w:tcPr>
          <w:p>
            <w:pPr>
              <w:pStyle w:val="TableParagraph"/>
              <w:spacing w:line="191" w:lineRule="exact" w:before="110"/>
              <w:ind w:right="42"/>
              <w:rPr>
                <w:sz w:val="18"/>
              </w:rPr>
            </w:pPr>
            <w:r>
              <w:rPr>
                <w:sz w:val="18"/>
              </w:rPr>
              <w:t>-.619</w:t>
            </w:r>
          </w:p>
        </w:tc>
        <w:tc>
          <w:tcPr>
            <w:tcW w:w="1026" w:type="dxa"/>
          </w:tcPr>
          <w:p>
            <w:pPr>
              <w:pStyle w:val="TableParagraph"/>
              <w:spacing w:line="191" w:lineRule="exact" w:before="110"/>
              <w:ind w:right="40"/>
              <w:rPr>
                <w:sz w:val="18"/>
              </w:rPr>
            </w:pPr>
            <w:r>
              <w:rPr>
                <w:sz w:val="18"/>
              </w:rPr>
              <w:t>-1.664</w:t>
            </w:r>
          </w:p>
        </w:tc>
        <w:tc>
          <w:tcPr>
            <w:tcW w:w="1021" w:type="dxa"/>
          </w:tcPr>
          <w:p>
            <w:pPr>
              <w:pStyle w:val="TableParagraph"/>
              <w:spacing w:line="191" w:lineRule="exact" w:before="110"/>
              <w:ind w:right="39"/>
              <w:rPr>
                <w:sz w:val="18"/>
              </w:rPr>
            </w:pPr>
            <w:r>
              <w:rPr>
                <w:sz w:val="18"/>
              </w:rPr>
              <w:t>.106</w:t>
            </w:r>
          </w:p>
        </w:tc>
      </w:tr>
      <w:tr>
        <w:trPr>
          <w:trHeight w:val="321" w:hRule="atLeast"/>
        </w:trPr>
        <w:tc>
          <w:tcPr>
            <w:tcW w:w="8607" w:type="dxa"/>
            <w:gridSpan w:val="7"/>
          </w:tcPr>
          <w:p>
            <w:pPr>
              <w:pStyle w:val="TableParagraph"/>
              <w:spacing w:line="191" w:lineRule="exact" w:before="110"/>
              <w:ind w:left="67"/>
              <w:jc w:val="left"/>
              <w:rPr>
                <w:sz w:val="18"/>
              </w:rPr>
            </w:pPr>
            <w:r>
              <w:rPr>
                <w:sz w:val="18"/>
              </w:rPr>
              <w:t>a. Dependent Variable: Harga Saham</w:t>
            </w:r>
          </w:p>
        </w:tc>
      </w:tr>
    </w:tbl>
    <w:p>
      <w:pPr>
        <w:pStyle w:val="BodyText"/>
        <w:spacing w:line="273" w:lineRule="exact"/>
        <w:ind w:left="586"/>
      </w:pPr>
      <w:r>
        <w:rPr/>
        <w:t>Sumber: Olahan Data SPSS 24, 2020</w:t>
      </w:r>
    </w:p>
    <w:p>
      <w:pPr>
        <w:pStyle w:val="BodyText"/>
        <w:spacing w:before="8"/>
        <w:rPr>
          <w:sz w:val="37"/>
        </w:rPr>
      </w:pPr>
    </w:p>
    <w:p>
      <w:pPr>
        <w:pStyle w:val="BodyText"/>
        <w:spacing w:before="1"/>
        <w:ind w:left="1436"/>
      </w:pPr>
      <w:r>
        <w:rPr/>
        <w:t>Ŷ = 2634.939 + 1312.285X1- 538.362X2 + 0.403ε</w:t>
      </w:r>
    </w:p>
    <w:p>
      <w:pPr>
        <w:pStyle w:val="BodyText"/>
        <w:spacing w:before="9"/>
        <w:rPr>
          <w:sz w:val="37"/>
        </w:rPr>
      </w:pPr>
    </w:p>
    <w:p>
      <w:pPr>
        <w:pStyle w:val="BodyText"/>
        <w:spacing w:line="480" w:lineRule="auto"/>
        <w:ind w:left="586" w:right="791" w:firstLine="566"/>
        <w:jc w:val="both"/>
      </w:pPr>
      <w:r>
        <w:rPr/>
        <w:t>Dari fungsi regresi tersebut diatas, maka diketahui bahwa </w:t>
      </w:r>
      <w:r>
        <w:rPr>
          <w:i/>
        </w:rPr>
        <w:t>Return on Asset </w:t>
      </w:r>
      <w:r>
        <w:rPr/>
        <w:t>mempunyai koefisien regresi dengan arah positif sebesar 1312.285. Jika diasumsikan variabel independen lain konstan, hal ini berarti setiap kenaikan </w:t>
      </w:r>
      <w:r>
        <w:rPr>
          <w:i/>
        </w:rPr>
        <w:t>Return on Asset </w:t>
      </w:r>
      <w:r>
        <w:rPr/>
        <w:t>perusahaan sebesar 1 satuan maka harga saham akan mengalami kenaikan sebesar 1312.285 satuan.</w:t>
      </w:r>
    </w:p>
    <w:p>
      <w:pPr>
        <w:pStyle w:val="BodyText"/>
        <w:spacing w:line="480" w:lineRule="auto" w:before="1"/>
        <w:ind w:left="586" w:right="793" w:firstLine="566"/>
        <w:jc w:val="both"/>
      </w:pPr>
      <w:r>
        <w:rPr>
          <w:i/>
        </w:rPr>
        <w:t>Return on Equity </w:t>
      </w:r>
      <w:r>
        <w:rPr/>
        <w:t>mempunyai koefisien regresi dengan arah negatif sebesar - 538,362. Hal ini dapat diartikan bahwa setiap kenaikan 1 satuan pada variabel </w:t>
      </w:r>
      <w:r>
        <w:rPr>
          <w:i/>
        </w:rPr>
        <w:t>Return on Equity </w:t>
      </w:r>
      <w:r>
        <w:rPr/>
        <w:t>akan menyebabkan variabel harga saham turun sebesar -538,362 satuan.</w:t>
      </w:r>
    </w:p>
    <w:p>
      <w:pPr>
        <w:pStyle w:val="BodyText"/>
        <w:spacing w:before="1"/>
        <w:ind w:left="1153"/>
        <w:jc w:val="both"/>
      </w:pPr>
      <w:r>
        <w:rPr/>
        <w:t>Epsilon (ɛ ) 0.403 Variabel yang tidak di teliti tetapi mempegaruhi variabel</w:t>
      </w:r>
    </w:p>
    <w:p>
      <w:pPr>
        <w:pStyle w:val="BodyText"/>
      </w:pPr>
    </w:p>
    <w:p>
      <w:pPr>
        <w:pStyle w:val="BodyText"/>
        <w:ind w:left="586"/>
      </w:pPr>
      <w:r>
        <w:rPr/>
        <w:t>(Y) sebesar 40,3%</w:t>
      </w:r>
    </w:p>
    <w:p>
      <w:pPr>
        <w:spacing w:after="0"/>
        <w:sectPr>
          <w:pgSz w:w="11910" w:h="16840"/>
          <w:pgMar w:header="0" w:footer="998" w:top="1580" w:bottom="1180" w:left="1680" w:right="900"/>
        </w:sectPr>
      </w:pPr>
    </w:p>
    <w:p>
      <w:pPr>
        <w:pStyle w:val="BodyText"/>
        <w:rPr>
          <w:sz w:val="20"/>
        </w:rPr>
      </w:pPr>
    </w:p>
    <w:p>
      <w:pPr>
        <w:pStyle w:val="BodyText"/>
        <w:rPr>
          <w:sz w:val="20"/>
        </w:rPr>
      </w:pPr>
    </w:p>
    <w:p>
      <w:pPr>
        <w:pStyle w:val="Heading3"/>
        <w:numPr>
          <w:ilvl w:val="2"/>
          <w:numId w:val="21"/>
        </w:numPr>
        <w:tabs>
          <w:tab w:pos="1153" w:val="left" w:leader="none"/>
        </w:tabs>
        <w:spacing w:line="240" w:lineRule="auto" w:before="209" w:after="0"/>
        <w:ind w:left="1153" w:right="0" w:hanging="567"/>
        <w:jc w:val="left"/>
      </w:pPr>
      <w:r>
        <w:rPr/>
        <w:t>Pengujian</w:t>
      </w:r>
      <w:r>
        <w:rPr>
          <w:spacing w:val="2"/>
        </w:rPr>
        <w:t> </w:t>
      </w:r>
      <w:r>
        <w:rPr/>
        <w:t>Hipotesis</w:t>
      </w:r>
    </w:p>
    <w:p>
      <w:pPr>
        <w:pStyle w:val="BodyText"/>
        <w:spacing w:before="7"/>
        <w:rPr>
          <w:b/>
          <w:sz w:val="23"/>
        </w:rPr>
      </w:pPr>
    </w:p>
    <w:p>
      <w:pPr>
        <w:pStyle w:val="BodyText"/>
        <w:spacing w:line="484" w:lineRule="auto"/>
        <w:ind w:left="586" w:right="882" w:firstLine="566"/>
        <w:jc w:val="both"/>
      </w:pPr>
      <w:r>
        <w:rPr/>
        <w:t>Untuk menguji digunakan analisis regresi berganda dengan program spss versi 24 for windows. Uji hipotesis terdiri atas hipotesis simultan dan parsial.</w:t>
      </w:r>
    </w:p>
    <w:p>
      <w:pPr>
        <w:pStyle w:val="Heading3"/>
        <w:numPr>
          <w:ilvl w:val="0"/>
          <w:numId w:val="25"/>
        </w:numPr>
        <w:tabs>
          <w:tab w:pos="1152" w:val="left" w:leader="none"/>
          <w:tab w:pos="1153" w:val="left" w:leader="none"/>
        </w:tabs>
        <w:spacing w:line="275" w:lineRule="exact" w:before="0" w:after="0"/>
        <w:ind w:left="1153" w:right="0" w:hanging="567"/>
        <w:jc w:val="left"/>
      </w:pPr>
      <w:r>
        <w:rPr/>
        <w:t>Hasil Uji Simultan (Uji</w:t>
      </w:r>
      <w:r>
        <w:rPr>
          <w:spacing w:val="3"/>
        </w:rPr>
        <w:t> </w:t>
      </w:r>
      <w:r>
        <w:rPr/>
        <w:t>F)</w:t>
      </w:r>
    </w:p>
    <w:p>
      <w:pPr>
        <w:pStyle w:val="BodyText"/>
        <w:spacing w:before="7"/>
        <w:rPr>
          <w:b/>
          <w:sz w:val="23"/>
        </w:rPr>
      </w:pPr>
    </w:p>
    <w:p>
      <w:pPr>
        <w:pStyle w:val="BodyText"/>
        <w:spacing w:line="480" w:lineRule="auto"/>
        <w:ind w:left="586" w:right="771" w:firstLine="566"/>
        <w:jc w:val="both"/>
      </w:pPr>
      <w:r>
        <w:rPr/>
        <w:t>Uji F adalah untuk melihat apakah seluruh variabel independen memiliki pengaruh signifikan terhadap variabel dependen. F-test ini bertujuan untuk mempelajari pengaruh variabel independen terhadap variabel dependen dalam penelitian ini. Jika nilai probabilitas&gt; 0,05, dapat diartikan bahwa variabel independen bersama-sama tidak berpengaruh signifikan terhadap variabel dependen, tetapi sebaliknya, jika probabilitas (signifikansi) &lt;0,05, variabel independen bersama-sama memiliki pengaruh signifikan terhadap harga saham..</w:t>
      </w:r>
    </w:p>
    <w:p>
      <w:pPr>
        <w:pStyle w:val="BodyText"/>
        <w:spacing w:before="2"/>
        <w:ind w:left="3150"/>
        <w:jc w:val="both"/>
      </w:pPr>
      <w:r>
        <w:rPr/>
        <w:t>Tabel 4.6 Hasil Uji Simultan</w:t>
      </w:r>
    </w:p>
    <w:p>
      <w:pPr>
        <w:pStyle w:val="BodyText"/>
        <w:spacing w:before="3"/>
      </w:pPr>
    </w:p>
    <w:tbl>
      <w:tblPr>
        <w:tblW w:w="0" w:type="auto"/>
        <w:jc w:val="left"/>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282"/>
        <w:gridCol w:w="1811"/>
        <w:gridCol w:w="687"/>
        <w:gridCol w:w="1470"/>
        <w:gridCol w:w="1027"/>
        <w:gridCol w:w="1023"/>
      </w:tblGrid>
      <w:tr>
        <w:trPr>
          <w:trHeight w:val="316" w:hRule="atLeast"/>
        </w:trPr>
        <w:tc>
          <w:tcPr>
            <w:tcW w:w="8034" w:type="dxa"/>
            <w:gridSpan w:val="7"/>
          </w:tcPr>
          <w:p>
            <w:pPr>
              <w:pStyle w:val="TableParagraph"/>
              <w:spacing w:line="234" w:lineRule="exact" w:before="63"/>
              <w:ind w:left="3556" w:right="3550"/>
              <w:jc w:val="center"/>
              <w:rPr>
                <w:b/>
                <w:sz w:val="22"/>
              </w:rPr>
            </w:pPr>
            <w:r>
              <w:rPr>
                <w:b/>
                <w:sz w:val="22"/>
              </w:rPr>
              <w:t>ANOVA</w:t>
            </w:r>
            <w:r>
              <w:rPr>
                <w:b/>
                <w:sz w:val="22"/>
                <w:vertAlign w:val="superscript"/>
              </w:rPr>
              <w:t>a</w:t>
            </w:r>
          </w:p>
        </w:tc>
      </w:tr>
      <w:tr>
        <w:trPr>
          <w:trHeight w:val="321" w:hRule="atLeast"/>
        </w:trPr>
        <w:tc>
          <w:tcPr>
            <w:tcW w:w="2016" w:type="dxa"/>
            <w:gridSpan w:val="2"/>
          </w:tcPr>
          <w:p>
            <w:pPr>
              <w:pStyle w:val="TableParagraph"/>
              <w:spacing w:line="191" w:lineRule="exact" w:before="110"/>
              <w:ind w:left="67"/>
              <w:jc w:val="left"/>
              <w:rPr>
                <w:sz w:val="18"/>
              </w:rPr>
            </w:pPr>
            <w:r>
              <w:rPr>
                <w:sz w:val="18"/>
              </w:rPr>
              <w:t>Model</w:t>
            </w:r>
          </w:p>
        </w:tc>
        <w:tc>
          <w:tcPr>
            <w:tcW w:w="1811" w:type="dxa"/>
          </w:tcPr>
          <w:p>
            <w:pPr>
              <w:pStyle w:val="TableParagraph"/>
              <w:spacing w:line="191" w:lineRule="exact" w:before="110"/>
              <w:ind w:left="341"/>
              <w:jc w:val="left"/>
              <w:rPr>
                <w:sz w:val="18"/>
              </w:rPr>
            </w:pPr>
            <w:r>
              <w:rPr>
                <w:sz w:val="18"/>
              </w:rPr>
              <w:t>Sum of Squares</w:t>
            </w:r>
          </w:p>
        </w:tc>
        <w:tc>
          <w:tcPr>
            <w:tcW w:w="687" w:type="dxa"/>
          </w:tcPr>
          <w:p>
            <w:pPr>
              <w:pStyle w:val="TableParagraph"/>
              <w:spacing w:line="191" w:lineRule="exact" w:before="110"/>
              <w:ind w:left="254" w:right="233"/>
              <w:jc w:val="center"/>
              <w:rPr>
                <w:sz w:val="18"/>
              </w:rPr>
            </w:pPr>
            <w:r>
              <w:rPr>
                <w:sz w:val="18"/>
              </w:rPr>
              <w:t>df</w:t>
            </w:r>
          </w:p>
        </w:tc>
        <w:tc>
          <w:tcPr>
            <w:tcW w:w="1470" w:type="dxa"/>
          </w:tcPr>
          <w:p>
            <w:pPr>
              <w:pStyle w:val="TableParagraph"/>
              <w:spacing w:line="191" w:lineRule="exact" w:before="110"/>
              <w:ind w:left="258"/>
              <w:jc w:val="left"/>
              <w:rPr>
                <w:sz w:val="18"/>
              </w:rPr>
            </w:pPr>
            <w:r>
              <w:rPr>
                <w:sz w:val="18"/>
              </w:rPr>
              <w:t>Mean Square</w:t>
            </w:r>
          </w:p>
        </w:tc>
        <w:tc>
          <w:tcPr>
            <w:tcW w:w="1027" w:type="dxa"/>
          </w:tcPr>
          <w:p>
            <w:pPr>
              <w:pStyle w:val="TableParagraph"/>
              <w:spacing w:line="191" w:lineRule="exact" w:before="110"/>
              <w:ind w:left="13"/>
              <w:jc w:val="center"/>
              <w:rPr>
                <w:sz w:val="18"/>
              </w:rPr>
            </w:pPr>
            <w:r>
              <w:rPr>
                <w:w w:val="101"/>
                <w:sz w:val="18"/>
              </w:rPr>
              <w:t>F</w:t>
            </w:r>
          </w:p>
        </w:tc>
        <w:tc>
          <w:tcPr>
            <w:tcW w:w="1023" w:type="dxa"/>
          </w:tcPr>
          <w:p>
            <w:pPr>
              <w:pStyle w:val="TableParagraph"/>
              <w:spacing w:line="191" w:lineRule="exact" w:before="110"/>
              <w:ind w:left="348" w:right="338"/>
              <w:jc w:val="center"/>
              <w:rPr>
                <w:sz w:val="18"/>
              </w:rPr>
            </w:pPr>
            <w:r>
              <w:rPr>
                <w:sz w:val="18"/>
              </w:rPr>
              <w:t>Sig.</w:t>
            </w:r>
          </w:p>
        </w:tc>
      </w:tr>
      <w:tr>
        <w:trPr>
          <w:trHeight w:val="321" w:hRule="atLeast"/>
        </w:trPr>
        <w:tc>
          <w:tcPr>
            <w:tcW w:w="734" w:type="dxa"/>
            <w:vMerge w:val="restart"/>
            <w:shd w:val="clear" w:color="auto" w:fill="DFDFDF"/>
          </w:tcPr>
          <w:p>
            <w:pPr>
              <w:pStyle w:val="TableParagraph"/>
              <w:spacing w:line="240" w:lineRule="auto" w:before="110"/>
              <w:ind w:left="67"/>
              <w:jc w:val="left"/>
              <w:rPr>
                <w:sz w:val="18"/>
              </w:rPr>
            </w:pPr>
            <w:r>
              <w:rPr>
                <w:w w:val="101"/>
                <w:sz w:val="18"/>
              </w:rPr>
              <w:t>1</w:t>
            </w:r>
          </w:p>
        </w:tc>
        <w:tc>
          <w:tcPr>
            <w:tcW w:w="1282" w:type="dxa"/>
            <w:shd w:val="clear" w:color="auto" w:fill="DFDFDF"/>
          </w:tcPr>
          <w:p>
            <w:pPr>
              <w:pStyle w:val="TableParagraph"/>
              <w:spacing w:line="191" w:lineRule="exact" w:before="110"/>
              <w:ind w:left="67"/>
              <w:jc w:val="left"/>
              <w:rPr>
                <w:sz w:val="18"/>
              </w:rPr>
            </w:pPr>
            <w:r>
              <w:rPr>
                <w:sz w:val="18"/>
              </w:rPr>
              <w:t>Regression</w:t>
            </w:r>
          </w:p>
        </w:tc>
        <w:tc>
          <w:tcPr>
            <w:tcW w:w="1811" w:type="dxa"/>
          </w:tcPr>
          <w:p>
            <w:pPr>
              <w:pStyle w:val="TableParagraph"/>
              <w:spacing w:line="191" w:lineRule="exact" w:before="110"/>
              <w:ind w:right="41"/>
              <w:rPr>
                <w:sz w:val="18"/>
              </w:rPr>
            </w:pPr>
            <w:r>
              <w:rPr>
                <w:sz w:val="18"/>
              </w:rPr>
              <w:t>843050793.200</w:t>
            </w:r>
          </w:p>
        </w:tc>
        <w:tc>
          <w:tcPr>
            <w:tcW w:w="687" w:type="dxa"/>
          </w:tcPr>
          <w:p>
            <w:pPr>
              <w:pStyle w:val="TableParagraph"/>
              <w:spacing w:line="191" w:lineRule="exact" w:before="110"/>
              <w:ind w:right="51"/>
              <w:rPr>
                <w:sz w:val="18"/>
              </w:rPr>
            </w:pPr>
            <w:r>
              <w:rPr>
                <w:w w:val="101"/>
                <w:sz w:val="18"/>
              </w:rPr>
              <w:t>2</w:t>
            </w:r>
          </w:p>
        </w:tc>
        <w:tc>
          <w:tcPr>
            <w:tcW w:w="1470" w:type="dxa"/>
          </w:tcPr>
          <w:p>
            <w:pPr>
              <w:pStyle w:val="TableParagraph"/>
              <w:spacing w:line="191" w:lineRule="exact" w:before="110"/>
              <w:ind w:right="47"/>
              <w:rPr>
                <w:sz w:val="18"/>
              </w:rPr>
            </w:pPr>
            <w:r>
              <w:rPr>
                <w:sz w:val="18"/>
              </w:rPr>
              <w:t>421525396.600</w:t>
            </w:r>
          </w:p>
        </w:tc>
        <w:tc>
          <w:tcPr>
            <w:tcW w:w="1027" w:type="dxa"/>
          </w:tcPr>
          <w:p>
            <w:pPr>
              <w:pStyle w:val="TableParagraph"/>
              <w:spacing w:line="191" w:lineRule="exact" w:before="110"/>
              <w:ind w:left="560"/>
              <w:jc w:val="left"/>
              <w:rPr>
                <w:sz w:val="18"/>
              </w:rPr>
            </w:pPr>
            <w:r>
              <w:rPr>
                <w:sz w:val="18"/>
              </w:rPr>
              <w:t>8.854</w:t>
            </w:r>
          </w:p>
        </w:tc>
        <w:tc>
          <w:tcPr>
            <w:tcW w:w="1023" w:type="dxa"/>
          </w:tcPr>
          <w:p>
            <w:pPr>
              <w:pStyle w:val="TableParagraph"/>
              <w:spacing w:line="191" w:lineRule="exact" w:before="110"/>
              <w:ind w:left="585"/>
              <w:jc w:val="left"/>
              <w:rPr>
                <w:sz w:val="18"/>
              </w:rPr>
            </w:pPr>
            <w:r>
              <w:rPr>
                <w:sz w:val="18"/>
              </w:rPr>
              <w:t>.001</w:t>
            </w:r>
            <w:r>
              <w:rPr>
                <w:sz w:val="18"/>
                <w:vertAlign w:val="superscript"/>
              </w:rPr>
              <w:t>b</w:t>
            </w:r>
          </w:p>
        </w:tc>
      </w:tr>
      <w:tr>
        <w:trPr>
          <w:trHeight w:val="321" w:hRule="atLeast"/>
        </w:trPr>
        <w:tc>
          <w:tcPr>
            <w:tcW w:w="734" w:type="dxa"/>
            <w:vMerge/>
            <w:tcBorders>
              <w:top w:val="nil"/>
            </w:tcBorders>
            <w:shd w:val="clear" w:color="auto" w:fill="DFDFDF"/>
          </w:tcPr>
          <w:p>
            <w:pPr>
              <w:rPr>
                <w:sz w:val="2"/>
                <w:szCs w:val="2"/>
              </w:rPr>
            </w:pPr>
          </w:p>
        </w:tc>
        <w:tc>
          <w:tcPr>
            <w:tcW w:w="1282" w:type="dxa"/>
            <w:shd w:val="clear" w:color="auto" w:fill="DFDFDF"/>
          </w:tcPr>
          <w:p>
            <w:pPr>
              <w:pStyle w:val="TableParagraph"/>
              <w:spacing w:line="191" w:lineRule="exact" w:before="110"/>
              <w:ind w:left="67"/>
              <w:jc w:val="left"/>
              <w:rPr>
                <w:sz w:val="18"/>
              </w:rPr>
            </w:pPr>
            <w:r>
              <w:rPr>
                <w:sz w:val="18"/>
              </w:rPr>
              <w:t>Residual</w:t>
            </w:r>
          </w:p>
        </w:tc>
        <w:tc>
          <w:tcPr>
            <w:tcW w:w="1811" w:type="dxa"/>
          </w:tcPr>
          <w:p>
            <w:pPr>
              <w:pStyle w:val="TableParagraph"/>
              <w:spacing w:line="191" w:lineRule="exact" w:before="110"/>
              <w:ind w:right="41"/>
              <w:rPr>
                <w:sz w:val="18"/>
              </w:rPr>
            </w:pPr>
            <w:r>
              <w:rPr>
                <w:sz w:val="18"/>
              </w:rPr>
              <w:t>1523444083.000</w:t>
            </w:r>
          </w:p>
        </w:tc>
        <w:tc>
          <w:tcPr>
            <w:tcW w:w="687" w:type="dxa"/>
          </w:tcPr>
          <w:p>
            <w:pPr>
              <w:pStyle w:val="TableParagraph"/>
              <w:spacing w:line="191" w:lineRule="exact" w:before="110"/>
              <w:ind w:right="46"/>
              <w:rPr>
                <w:sz w:val="18"/>
              </w:rPr>
            </w:pPr>
            <w:r>
              <w:rPr>
                <w:sz w:val="18"/>
              </w:rPr>
              <w:t>32</w:t>
            </w:r>
          </w:p>
        </w:tc>
        <w:tc>
          <w:tcPr>
            <w:tcW w:w="1470" w:type="dxa"/>
          </w:tcPr>
          <w:p>
            <w:pPr>
              <w:pStyle w:val="TableParagraph"/>
              <w:spacing w:line="191" w:lineRule="exact" w:before="110"/>
              <w:ind w:right="47"/>
              <w:rPr>
                <w:sz w:val="18"/>
              </w:rPr>
            </w:pPr>
            <w:r>
              <w:rPr>
                <w:sz w:val="18"/>
              </w:rPr>
              <w:t>47607627.610</w:t>
            </w:r>
          </w:p>
        </w:tc>
        <w:tc>
          <w:tcPr>
            <w:tcW w:w="1027" w:type="dxa"/>
          </w:tcPr>
          <w:p>
            <w:pPr>
              <w:pStyle w:val="TableParagraph"/>
              <w:spacing w:line="240" w:lineRule="auto"/>
              <w:jc w:val="left"/>
              <w:rPr>
                <w:sz w:val="22"/>
              </w:rPr>
            </w:pPr>
          </w:p>
        </w:tc>
        <w:tc>
          <w:tcPr>
            <w:tcW w:w="1023" w:type="dxa"/>
          </w:tcPr>
          <w:p>
            <w:pPr>
              <w:pStyle w:val="TableParagraph"/>
              <w:spacing w:line="240" w:lineRule="auto"/>
              <w:jc w:val="left"/>
              <w:rPr>
                <w:sz w:val="22"/>
              </w:rPr>
            </w:pPr>
          </w:p>
        </w:tc>
      </w:tr>
      <w:tr>
        <w:trPr>
          <w:trHeight w:val="316" w:hRule="atLeast"/>
        </w:trPr>
        <w:tc>
          <w:tcPr>
            <w:tcW w:w="734" w:type="dxa"/>
            <w:vMerge/>
            <w:tcBorders>
              <w:top w:val="nil"/>
            </w:tcBorders>
            <w:shd w:val="clear" w:color="auto" w:fill="DFDFDF"/>
          </w:tcPr>
          <w:p>
            <w:pPr>
              <w:rPr>
                <w:sz w:val="2"/>
                <w:szCs w:val="2"/>
              </w:rPr>
            </w:pPr>
          </w:p>
        </w:tc>
        <w:tc>
          <w:tcPr>
            <w:tcW w:w="1282" w:type="dxa"/>
            <w:shd w:val="clear" w:color="auto" w:fill="DFDFDF"/>
          </w:tcPr>
          <w:p>
            <w:pPr>
              <w:pStyle w:val="TableParagraph"/>
              <w:spacing w:line="191" w:lineRule="exact" w:before="105"/>
              <w:ind w:left="67"/>
              <w:jc w:val="left"/>
              <w:rPr>
                <w:sz w:val="18"/>
              </w:rPr>
            </w:pPr>
            <w:r>
              <w:rPr>
                <w:sz w:val="18"/>
              </w:rPr>
              <w:t>Total</w:t>
            </w:r>
          </w:p>
        </w:tc>
        <w:tc>
          <w:tcPr>
            <w:tcW w:w="1811" w:type="dxa"/>
          </w:tcPr>
          <w:p>
            <w:pPr>
              <w:pStyle w:val="TableParagraph"/>
              <w:spacing w:line="191" w:lineRule="exact" w:before="105"/>
              <w:ind w:right="41"/>
              <w:rPr>
                <w:sz w:val="18"/>
              </w:rPr>
            </w:pPr>
            <w:r>
              <w:rPr>
                <w:sz w:val="18"/>
              </w:rPr>
              <w:t>2366494877.000</w:t>
            </w:r>
          </w:p>
        </w:tc>
        <w:tc>
          <w:tcPr>
            <w:tcW w:w="687" w:type="dxa"/>
          </w:tcPr>
          <w:p>
            <w:pPr>
              <w:pStyle w:val="TableParagraph"/>
              <w:spacing w:line="191" w:lineRule="exact" w:before="105"/>
              <w:ind w:right="46"/>
              <w:rPr>
                <w:sz w:val="18"/>
              </w:rPr>
            </w:pPr>
            <w:r>
              <w:rPr>
                <w:sz w:val="18"/>
              </w:rPr>
              <w:t>34</w:t>
            </w:r>
          </w:p>
        </w:tc>
        <w:tc>
          <w:tcPr>
            <w:tcW w:w="1470" w:type="dxa"/>
          </w:tcPr>
          <w:p>
            <w:pPr>
              <w:pStyle w:val="TableParagraph"/>
              <w:spacing w:line="240" w:lineRule="auto"/>
              <w:jc w:val="left"/>
              <w:rPr>
                <w:sz w:val="22"/>
              </w:rPr>
            </w:pPr>
          </w:p>
        </w:tc>
        <w:tc>
          <w:tcPr>
            <w:tcW w:w="1027" w:type="dxa"/>
          </w:tcPr>
          <w:p>
            <w:pPr>
              <w:pStyle w:val="TableParagraph"/>
              <w:spacing w:line="240" w:lineRule="auto"/>
              <w:jc w:val="left"/>
              <w:rPr>
                <w:sz w:val="22"/>
              </w:rPr>
            </w:pPr>
          </w:p>
        </w:tc>
        <w:tc>
          <w:tcPr>
            <w:tcW w:w="1023" w:type="dxa"/>
          </w:tcPr>
          <w:p>
            <w:pPr>
              <w:pStyle w:val="TableParagraph"/>
              <w:spacing w:line="240" w:lineRule="auto"/>
              <w:jc w:val="left"/>
              <w:rPr>
                <w:sz w:val="22"/>
              </w:rPr>
            </w:pPr>
          </w:p>
        </w:tc>
      </w:tr>
      <w:tr>
        <w:trPr>
          <w:trHeight w:val="321" w:hRule="atLeast"/>
        </w:trPr>
        <w:tc>
          <w:tcPr>
            <w:tcW w:w="8034" w:type="dxa"/>
            <w:gridSpan w:val="7"/>
          </w:tcPr>
          <w:p>
            <w:pPr>
              <w:pStyle w:val="TableParagraph"/>
              <w:spacing w:line="191" w:lineRule="exact" w:before="110"/>
              <w:ind w:left="67"/>
              <w:jc w:val="left"/>
              <w:rPr>
                <w:sz w:val="18"/>
              </w:rPr>
            </w:pPr>
            <w:r>
              <w:rPr>
                <w:sz w:val="18"/>
              </w:rPr>
              <w:t>a. Dependent Variable: Harga Saham</w:t>
            </w:r>
          </w:p>
        </w:tc>
      </w:tr>
      <w:tr>
        <w:trPr>
          <w:trHeight w:val="321" w:hRule="atLeast"/>
        </w:trPr>
        <w:tc>
          <w:tcPr>
            <w:tcW w:w="8034" w:type="dxa"/>
            <w:gridSpan w:val="7"/>
          </w:tcPr>
          <w:p>
            <w:pPr>
              <w:pStyle w:val="TableParagraph"/>
              <w:spacing w:line="191" w:lineRule="exact" w:before="110"/>
              <w:ind w:left="67"/>
              <w:jc w:val="left"/>
              <w:rPr>
                <w:sz w:val="18"/>
              </w:rPr>
            </w:pPr>
            <w:r>
              <w:rPr>
                <w:sz w:val="18"/>
              </w:rPr>
              <w:t>b. Predictors: (Constant), Return On Equity, Return On Asset</w:t>
            </w:r>
          </w:p>
        </w:tc>
      </w:tr>
    </w:tbl>
    <w:p>
      <w:pPr>
        <w:pStyle w:val="BodyText"/>
        <w:ind w:left="586"/>
      </w:pPr>
      <w:r>
        <w:rPr/>
        <w:t>Sumber: Olahan Data SPSS 24, 2020</w:t>
      </w:r>
    </w:p>
    <w:p>
      <w:pPr>
        <w:pStyle w:val="BodyText"/>
        <w:spacing w:before="8"/>
        <w:rPr>
          <w:sz w:val="37"/>
        </w:rPr>
      </w:pPr>
    </w:p>
    <w:p>
      <w:pPr>
        <w:pStyle w:val="BodyText"/>
        <w:spacing w:line="480" w:lineRule="auto" w:before="1"/>
        <w:ind w:left="586" w:right="799" w:firstLine="566"/>
        <w:jc w:val="both"/>
      </w:pPr>
      <w:r>
        <w:rPr/>
        <w:t>Menurut data dalam tabel di atas, dapat </w:t>
      </w:r>
      <w:r>
        <w:rPr>
          <w:spacing w:val="-3"/>
        </w:rPr>
        <w:t>dilihat </w:t>
      </w:r>
      <w:r>
        <w:rPr/>
        <w:t>bahwa nilai efektif </w:t>
      </w:r>
      <w:r>
        <w:rPr>
          <w:spacing w:val="3"/>
        </w:rPr>
        <w:t>dari </w:t>
      </w:r>
      <w:r>
        <w:rPr/>
        <w:t>model persamaan adalah 0,001. Karena nilai signifikansi &lt;0,05 adalah 0,001, maka 0,001 &lt;0,05 menunjukkan bahwa (pada saat </w:t>
      </w:r>
      <w:r>
        <w:rPr>
          <w:spacing w:val="-3"/>
        </w:rPr>
        <w:t>yang </w:t>
      </w:r>
      <w:r>
        <w:rPr/>
        <w:t>sama) pengembalian aset variabel dan pengembalian ekuitas pemilik memiliki dampak signifikan pada variabel yang terkait dengan harga saham. Asumsi ini menunjukkan bahwa pengembalian aset dan </w:t>
      </w:r>
      <w:r>
        <w:rPr>
          <w:spacing w:val="-3"/>
        </w:rPr>
        <w:t>laba </w:t>
      </w:r>
      <w:r>
        <w:rPr/>
        <w:t>atas ekuitas memiliki dampak signifikan</w:t>
      </w:r>
      <w:r>
        <w:rPr>
          <w:spacing w:val="-26"/>
        </w:rPr>
        <w:t> </w:t>
      </w:r>
      <w:r>
        <w:rPr/>
        <w:t>terhadap</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8"/>
        <w:jc w:val="both"/>
      </w:pPr>
      <w:r>
        <w:rPr/>
        <w:t>harga saham (Y) perusahaan industri semen yang terdaftar di Bursa Efek Indonesia. Asumsi ini diterima.</w:t>
      </w:r>
    </w:p>
    <w:p>
      <w:pPr>
        <w:pStyle w:val="Heading3"/>
        <w:numPr>
          <w:ilvl w:val="0"/>
          <w:numId w:val="25"/>
        </w:numPr>
        <w:tabs>
          <w:tab w:pos="1153" w:val="left" w:leader="none"/>
        </w:tabs>
        <w:spacing w:line="240" w:lineRule="auto" w:before="5" w:after="0"/>
        <w:ind w:left="1153" w:right="0" w:hanging="284"/>
        <w:jc w:val="both"/>
      </w:pPr>
      <w:r>
        <w:rPr/>
        <w:t>Hasil Uji Parsial (Uji</w:t>
      </w:r>
      <w:r>
        <w:rPr>
          <w:spacing w:val="7"/>
        </w:rPr>
        <w:t> </w:t>
      </w:r>
      <w:r>
        <w:rPr/>
        <w:t>t)</w:t>
      </w:r>
    </w:p>
    <w:p>
      <w:pPr>
        <w:pStyle w:val="BodyText"/>
        <w:spacing w:before="6"/>
        <w:rPr>
          <w:b/>
          <w:sz w:val="23"/>
        </w:rPr>
      </w:pPr>
    </w:p>
    <w:p>
      <w:pPr>
        <w:pStyle w:val="BodyText"/>
        <w:spacing w:line="480" w:lineRule="auto"/>
        <w:ind w:left="586" w:right="800" w:firstLine="566"/>
        <w:jc w:val="both"/>
      </w:pPr>
      <w:r>
        <w:rPr/>
        <w:t>Uji T pada dasarnya menunjukkan tingkat pengaruh satu (variabel) dan satu variabel independen dalam menjelaskan harga saham variabel dependen. Jika nilai signifikansi yang diperoleh lebih besar dari 0,05, variabel independen tidak berpengaruh signifikan terhadap harga saham, sebaliknya, jika nilai signifikansi kurang dari 0,05, dapat diartikan bahwa variabel independen memiliki pengaruh signifikan terhadap harga saham. Variabel dependen adalah harga saham. Berikut ini adalah hasil tes yang diproses menggunakan program SPSS:</w:t>
      </w:r>
    </w:p>
    <w:p>
      <w:pPr>
        <w:pStyle w:val="BodyText"/>
        <w:rPr>
          <w:sz w:val="21"/>
        </w:rPr>
      </w:pPr>
    </w:p>
    <w:p>
      <w:pPr>
        <w:pStyle w:val="BodyText"/>
        <w:spacing w:before="1"/>
        <w:ind w:left="3256"/>
        <w:jc w:val="both"/>
      </w:pPr>
      <w:r>
        <w:rPr/>
        <w:t>Tabel 4.7 Hasil Uji Parsial</w:t>
      </w:r>
    </w:p>
    <w:p>
      <w:pPr>
        <w:pStyle w:val="BodyText"/>
        <w:spacing w:before="3"/>
      </w:pPr>
    </w:p>
    <w:tbl>
      <w:tblPr>
        <w:tblW w:w="0" w:type="auto"/>
        <w:jc w:val="left"/>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695"/>
        <w:gridCol w:w="1334"/>
        <w:gridCol w:w="1329"/>
        <w:gridCol w:w="1468"/>
        <w:gridCol w:w="1026"/>
        <w:gridCol w:w="1021"/>
      </w:tblGrid>
      <w:tr>
        <w:trPr>
          <w:trHeight w:val="321" w:hRule="atLeast"/>
        </w:trPr>
        <w:tc>
          <w:tcPr>
            <w:tcW w:w="8607" w:type="dxa"/>
            <w:gridSpan w:val="7"/>
          </w:tcPr>
          <w:p>
            <w:pPr>
              <w:pStyle w:val="TableParagraph"/>
              <w:spacing w:line="233" w:lineRule="exact" w:before="68"/>
              <w:ind w:left="3694" w:right="3680"/>
              <w:jc w:val="center"/>
              <w:rPr>
                <w:b/>
                <w:sz w:val="22"/>
              </w:rPr>
            </w:pPr>
            <w:r>
              <w:rPr>
                <w:b/>
                <w:sz w:val="22"/>
              </w:rPr>
              <w:t>Coefficients</w:t>
            </w:r>
            <w:r>
              <w:rPr>
                <w:b/>
                <w:sz w:val="22"/>
                <w:vertAlign w:val="superscript"/>
              </w:rPr>
              <w:t>a</w:t>
            </w:r>
          </w:p>
        </w:tc>
      </w:tr>
      <w:tr>
        <w:trPr>
          <w:trHeight w:val="643" w:hRule="atLeast"/>
        </w:trPr>
        <w:tc>
          <w:tcPr>
            <w:tcW w:w="2429" w:type="dxa"/>
            <w:gridSpan w:val="2"/>
            <w:vMerge w:val="restart"/>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1"/>
              <w:jc w:val="left"/>
              <w:rPr>
                <w:sz w:val="25"/>
              </w:rPr>
            </w:pPr>
          </w:p>
          <w:p>
            <w:pPr>
              <w:pStyle w:val="TableParagraph"/>
              <w:spacing w:line="191" w:lineRule="exact"/>
              <w:ind w:left="67"/>
              <w:jc w:val="left"/>
              <w:rPr>
                <w:sz w:val="18"/>
              </w:rPr>
            </w:pPr>
            <w:r>
              <w:rPr>
                <w:sz w:val="18"/>
              </w:rPr>
              <w:t>Model</w:t>
            </w:r>
          </w:p>
        </w:tc>
        <w:tc>
          <w:tcPr>
            <w:tcW w:w="2663" w:type="dxa"/>
            <w:gridSpan w:val="2"/>
          </w:tcPr>
          <w:p>
            <w:pPr>
              <w:pStyle w:val="TableParagraph"/>
              <w:spacing w:line="240" w:lineRule="auto"/>
              <w:jc w:val="left"/>
              <w:rPr>
                <w:sz w:val="20"/>
              </w:rPr>
            </w:pPr>
          </w:p>
          <w:p>
            <w:pPr>
              <w:pStyle w:val="TableParagraph"/>
              <w:spacing w:line="240" w:lineRule="auto" w:before="6"/>
              <w:jc w:val="left"/>
              <w:rPr>
                <w:sz w:val="17"/>
              </w:rPr>
            </w:pPr>
          </w:p>
          <w:p>
            <w:pPr>
              <w:pStyle w:val="TableParagraph"/>
              <w:spacing w:line="191" w:lineRule="exact"/>
              <w:ind w:left="307"/>
              <w:jc w:val="left"/>
              <w:rPr>
                <w:sz w:val="18"/>
              </w:rPr>
            </w:pPr>
            <w:r>
              <w:rPr>
                <w:sz w:val="18"/>
              </w:rPr>
              <w:t>Unstandardized Coefficients</w:t>
            </w:r>
          </w:p>
        </w:tc>
        <w:tc>
          <w:tcPr>
            <w:tcW w:w="1468" w:type="dxa"/>
          </w:tcPr>
          <w:p>
            <w:pPr>
              <w:pStyle w:val="TableParagraph"/>
              <w:spacing w:line="322" w:lineRule="exact" w:before="20"/>
              <w:ind w:left="300" w:right="227" w:hanging="29"/>
              <w:jc w:val="left"/>
              <w:rPr>
                <w:sz w:val="18"/>
              </w:rPr>
            </w:pPr>
            <w:r>
              <w:rPr>
                <w:sz w:val="18"/>
              </w:rPr>
              <w:t>Standardized Coefficients</w:t>
            </w:r>
          </w:p>
        </w:tc>
        <w:tc>
          <w:tcPr>
            <w:tcW w:w="1026" w:type="dxa"/>
            <w:vMerge w:val="restart"/>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1"/>
              <w:jc w:val="left"/>
              <w:rPr>
                <w:sz w:val="25"/>
              </w:rPr>
            </w:pPr>
          </w:p>
          <w:p>
            <w:pPr>
              <w:pStyle w:val="TableParagraph"/>
              <w:spacing w:line="191" w:lineRule="exact"/>
              <w:ind w:left="31"/>
              <w:jc w:val="center"/>
              <w:rPr>
                <w:sz w:val="18"/>
              </w:rPr>
            </w:pPr>
            <w:r>
              <w:rPr>
                <w:w w:val="101"/>
                <w:sz w:val="18"/>
              </w:rPr>
              <w:t>t</w:t>
            </w:r>
          </w:p>
        </w:tc>
        <w:tc>
          <w:tcPr>
            <w:tcW w:w="1021" w:type="dxa"/>
            <w:vMerge w:val="restart"/>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11"/>
              <w:jc w:val="left"/>
              <w:rPr>
                <w:sz w:val="25"/>
              </w:rPr>
            </w:pPr>
          </w:p>
          <w:p>
            <w:pPr>
              <w:pStyle w:val="TableParagraph"/>
              <w:spacing w:line="191" w:lineRule="exact"/>
              <w:ind w:left="354" w:right="330"/>
              <w:jc w:val="center"/>
              <w:rPr>
                <w:sz w:val="18"/>
              </w:rPr>
            </w:pPr>
            <w:r>
              <w:rPr>
                <w:sz w:val="18"/>
              </w:rPr>
              <w:t>Sig.</w:t>
            </w:r>
          </w:p>
        </w:tc>
      </w:tr>
      <w:tr>
        <w:trPr>
          <w:trHeight w:val="295" w:hRule="atLeast"/>
        </w:trPr>
        <w:tc>
          <w:tcPr>
            <w:tcW w:w="2429" w:type="dxa"/>
            <w:gridSpan w:val="2"/>
            <w:vMerge/>
            <w:tcBorders>
              <w:top w:val="nil"/>
            </w:tcBorders>
          </w:tcPr>
          <w:p>
            <w:pPr>
              <w:rPr>
                <w:sz w:val="2"/>
                <w:szCs w:val="2"/>
              </w:rPr>
            </w:pPr>
          </w:p>
        </w:tc>
        <w:tc>
          <w:tcPr>
            <w:tcW w:w="1334" w:type="dxa"/>
          </w:tcPr>
          <w:p>
            <w:pPr>
              <w:pStyle w:val="TableParagraph"/>
              <w:spacing w:line="191" w:lineRule="exact" w:before="84"/>
              <w:ind w:left="610"/>
              <w:jc w:val="left"/>
              <w:rPr>
                <w:sz w:val="18"/>
              </w:rPr>
            </w:pPr>
            <w:r>
              <w:rPr>
                <w:w w:val="101"/>
                <w:sz w:val="18"/>
              </w:rPr>
              <w:t>B</w:t>
            </w:r>
          </w:p>
        </w:tc>
        <w:tc>
          <w:tcPr>
            <w:tcW w:w="1329" w:type="dxa"/>
          </w:tcPr>
          <w:p>
            <w:pPr>
              <w:pStyle w:val="TableParagraph"/>
              <w:spacing w:line="191" w:lineRule="exact" w:before="84"/>
              <w:ind w:left="313"/>
              <w:jc w:val="left"/>
              <w:rPr>
                <w:sz w:val="18"/>
              </w:rPr>
            </w:pPr>
            <w:r>
              <w:rPr>
                <w:sz w:val="18"/>
              </w:rPr>
              <w:t>Std. Error</w:t>
            </w:r>
          </w:p>
        </w:tc>
        <w:tc>
          <w:tcPr>
            <w:tcW w:w="1468" w:type="dxa"/>
          </w:tcPr>
          <w:p>
            <w:pPr>
              <w:pStyle w:val="TableParagraph"/>
              <w:spacing w:line="191" w:lineRule="exact" w:before="84"/>
              <w:ind w:left="556" w:right="532"/>
              <w:jc w:val="center"/>
              <w:rPr>
                <w:sz w:val="18"/>
              </w:rPr>
            </w:pPr>
            <w:r>
              <w:rPr>
                <w:sz w:val="18"/>
              </w:rPr>
              <w:t>Beta</w:t>
            </w:r>
          </w:p>
        </w:tc>
        <w:tc>
          <w:tcPr>
            <w:tcW w:w="1026" w:type="dxa"/>
            <w:vMerge/>
            <w:tcBorders>
              <w:top w:val="nil"/>
            </w:tcBorders>
          </w:tcPr>
          <w:p>
            <w:pPr>
              <w:rPr>
                <w:sz w:val="2"/>
                <w:szCs w:val="2"/>
              </w:rPr>
            </w:pPr>
          </w:p>
        </w:tc>
        <w:tc>
          <w:tcPr>
            <w:tcW w:w="1021" w:type="dxa"/>
            <w:vMerge/>
            <w:tcBorders>
              <w:top w:val="nil"/>
            </w:tcBorders>
          </w:tcPr>
          <w:p>
            <w:pPr>
              <w:rPr>
                <w:sz w:val="2"/>
                <w:szCs w:val="2"/>
              </w:rPr>
            </w:pPr>
          </w:p>
        </w:tc>
      </w:tr>
      <w:tr>
        <w:trPr>
          <w:trHeight w:val="318" w:hRule="atLeast"/>
        </w:trPr>
        <w:tc>
          <w:tcPr>
            <w:tcW w:w="734" w:type="dxa"/>
            <w:vMerge w:val="restart"/>
            <w:tcBorders>
              <w:bottom w:val="single" w:sz="6" w:space="0" w:color="000000"/>
            </w:tcBorders>
            <w:shd w:val="clear" w:color="auto" w:fill="DFDFDF"/>
          </w:tcPr>
          <w:p>
            <w:pPr>
              <w:pStyle w:val="TableParagraph"/>
              <w:spacing w:line="240" w:lineRule="auto" w:before="110"/>
              <w:ind w:left="67"/>
              <w:jc w:val="left"/>
              <w:rPr>
                <w:sz w:val="18"/>
              </w:rPr>
            </w:pPr>
            <w:r>
              <w:rPr>
                <w:w w:val="101"/>
                <w:sz w:val="18"/>
              </w:rPr>
              <w:t>1</w:t>
            </w:r>
          </w:p>
        </w:tc>
        <w:tc>
          <w:tcPr>
            <w:tcW w:w="1695" w:type="dxa"/>
            <w:shd w:val="clear" w:color="auto" w:fill="DFDFDF"/>
          </w:tcPr>
          <w:p>
            <w:pPr>
              <w:pStyle w:val="TableParagraph"/>
              <w:spacing w:line="189" w:lineRule="exact" w:before="110"/>
              <w:ind w:left="67"/>
              <w:jc w:val="left"/>
              <w:rPr>
                <w:sz w:val="18"/>
              </w:rPr>
            </w:pPr>
            <w:r>
              <w:rPr>
                <w:sz w:val="18"/>
              </w:rPr>
              <w:t>(Constant)</w:t>
            </w:r>
          </w:p>
        </w:tc>
        <w:tc>
          <w:tcPr>
            <w:tcW w:w="1334" w:type="dxa"/>
          </w:tcPr>
          <w:p>
            <w:pPr>
              <w:pStyle w:val="TableParagraph"/>
              <w:spacing w:line="189" w:lineRule="exact" w:before="110"/>
              <w:ind w:left="595"/>
              <w:jc w:val="left"/>
              <w:rPr>
                <w:sz w:val="18"/>
              </w:rPr>
            </w:pPr>
            <w:r>
              <w:rPr>
                <w:sz w:val="18"/>
              </w:rPr>
              <w:t>2634.939</w:t>
            </w:r>
          </w:p>
        </w:tc>
        <w:tc>
          <w:tcPr>
            <w:tcW w:w="1329" w:type="dxa"/>
          </w:tcPr>
          <w:p>
            <w:pPr>
              <w:pStyle w:val="TableParagraph"/>
              <w:spacing w:line="189" w:lineRule="exact" w:before="110"/>
              <w:ind w:right="43"/>
              <w:rPr>
                <w:sz w:val="18"/>
              </w:rPr>
            </w:pPr>
            <w:r>
              <w:rPr>
                <w:sz w:val="18"/>
              </w:rPr>
              <w:t>1877.088</w:t>
            </w:r>
          </w:p>
        </w:tc>
        <w:tc>
          <w:tcPr>
            <w:tcW w:w="1468" w:type="dxa"/>
          </w:tcPr>
          <w:p>
            <w:pPr>
              <w:pStyle w:val="TableParagraph"/>
              <w:spacing w:line="240" w:lineRule="auto"/>
              <w:jc w:val="left"/>
              <w:rPr>
                <w:sz w:val="22"/>
              </w:rPr>
            </w:pPr>
          </w:p>
        </w:tc>
        <w:tc>
          <w:tcPr>
            <w:tcW w:w="1026" w:type="dxa"/>
          </w:tcPr>
          <w:p>
            <w:pPr>
              <w:pStyle w:val="TableParagraph"/>
              <w:spacing w:line="189" w:lineRule="exact" w:before="110"/>
              <w:ind w:right="40"/>
              <w:rPr>
                <w:sz w:val="18"/>
              </w:rPr>
            </w:pPr>
            <w:r>
              <w:rPr>
                <w:sz w:val="18"/>
              </w:rPr>
              <w:t>1.404</w:t>
            </w:r>
          </w:p>
        </w:tc>
        <w:tc>
          <w:tcPr>
            <w:tcW w:w="1021" w:type="dxa"/>
          </w:tcPr>
          <w:p>
            <w:pPr>
              <w:pStyle w:val="TableParagraph"/>
              <w:spacing w:line="189" w:lineRule="exact" w:before="110"/>
              <w:ind w:right="39"/>
              <w:rPr>
                <w:sz w:val="18"/>
              </w:rPr>
            </w:pPr>
            <w:r>
              <w:rPr>
                <w:sz w:val="18"/>
              </w:rPr>
              <w:t>.170</w:t>
            </w:r>
          </w:p>
        </w:tc>
      </w:tr>
      <w:tr>
        <w:trPr>
          <w:trHeight w:val="316" w:hRule="atLeast"/>
        </w:trPr>
        <w:tc>
          <w:tcPr>
            <w:tcW w:w="734" w:type="dxa"/>
            <w:vMerge/>
            <w:tcBorders>
              <w:top w:val="nil"/>
              <w:bottom w:val="single" w:sz="6" w:space="0" w:color="000000"/>
            </w:tcBorders>
            <w:shd w:val="clear" w:color="auto" w:fill="DFDFDF"/>
          </w:tcPr>
          <w:p>
            <w:pPr>
              <w:rPr>
                <w:sz w:val="2"/>
                <w:szCs w:val="2"/>
              </w:rPr>
            </w:pPr>
          </w:p>
        </w:tc>
        <w:tc>
          <w:tcPr>
            <w:tcW w:w="1695" w:type="dxa"/>
            <w:shd w:val="clear" w:color="auto" w:fill="DFDFDF"/>
          </w:tcPr>
          <w:p>
            <w:pPr>
              <w:pStyle w:val="TableParagraph"/>
              <w:spacing w:line="189" w:lineRule="exact" w:before="107"/>
              <w:ind w:left="67"/>
              <w:jc w:val="left"/>
              <w:rPr>
                <w:sz w:val="18"/>
              </w:rPr>
            </w:pPr>
            <w:r>
              <w:rPr>
                <w:sz w:val="18"/>
              </w:rPr>
              <w:t>Return On Asset</w:t>
            </w:r>
          </w:p>
        </w:tc>
        <w:tc>
          <w:tcPr>
            <w:tcW w:w="1334" w:type="dxa"/>
          </w:tcPr>
          <w:p>
            <w:pPr>
              <w:pStyle w:val="TableParagraph"/>
              <w:spacing w:line="189" w:lineRule="exact" w:before="107"/>
              <w:ind w:left="595"/>
              <w:jc w:val="left"/>
              <w:rPr>
                <w:sz w:val="18"/>
              </w:rPr>
            </w:pPr>
            <w:r>
              <w:rPr>
                <w:sz w:val="18"/>
              </w:rPr>
              <w:t>1312.285</w:t>
            </w:r>
          </w:p>
        </w:tc>
        <w:tc>
          <w:tcPr>
            <w:tcW w:w="1329" w:type="dxa"/>
          </w:tcPr>
          <w:p>
            <w:pPr>
              <w:pStyle w:val="TableParagraph"/>
              <w:spacing w:line="189" w:lineRule="exact" w:before="107"/>
              <w:ind w:right="43"/>
              <w:rPr>
                <w:sz w:val="18"/>
              </w:rPr>
            </w:pPr>
            <w:r>
              <w:rPr>
                <w:sz w:val="18"/>
              </w:rPr>
              <w:t>435.675</w:t>
            </w:r>
          </w:p>
        </w:tc>
        <w:tc>
          <w:tcPr>
            <w:tcW w:w="1468" w:type="dxa"/>
          </w:tcPr>
          <w:p>
            <w:pPr>
              <w:pStyle w:val="TableParagraph"/>
              <w:spacing w:line="189" w:lineRule="exact" w:before="107"/>
              <w:ind w:right="41"/>
              <w:rPr>
                <w:sz w:val="18"/>
              </w:rPr>
            </w:pPr>
            <w:r>
              <w:rPr>
                <w:sz w:val="18"/>
              </w:rPr>
              <w:t>1.120</w:t>
            </w:r>
          </w:p>
        </w:tc>
        <w:tc>
          <w:tcPr>
            <w:tcW w:w="1026" w:type="dxa"/>
          </w:tcPr>
          <w:p>
            <w:pPr>
              <w:pStyle w:val="TableParagraph"/>
              <w:spacing w:line="189" w:lineRule="exact" w:before="107"/>
              <w:ind w:right="40"/>
              <w:rPr>
                <w:sz w:val="18"/>
              </w:rPr>
            </w:pPr>
            <w:r>
              <w:rPr>
                <w:sz w:val="18"/>
              </w:rPr>
              <w:t>3.012</w:t>
            </w:r>
          </w:p>
        </w:tc>
        <w:tc>
          <w:tcPr>
            <w:tcW w:w="1021" w:type="dxa"/>
          </w:tcPr>
          <w:p>
            <w:pPr>
              <w:pStyle w:val="TableParagraph"/>
              <w:spacing w:line="189" w:lineRule="exact" w:before="107"/>
              <w:ind w:right="39"/>
              <w:rPr>
                <w:sz w:val="18"/>
              </w:rPr>
            </w:pPr>
            <w:r>
              <w:rPr>
                <w:sz w:val="18"/>
              </w:rPr>
              <w:t>.005</w:t>
            </w:r>
          </w:p>
        </w:tc>
      </w:tr>
      <w:tr>
        <w:trPr>
          <w:trHeight w:val="316" w:hRule="atLeast"/>
        </w:trPr>
        <w:tc>
          <w:tcPr>
            <w:tcW w:w="734" w:type="dxa"/>
            <w:vMerge/>
            <w:tcBorders>
              <w:top w:val="nil"/>
              <w:bottom w:val="single" w:sz="6" w:space="0" w:color="000000"/>
            </w:tcBorders>
            <w:shd w:val="clear" w:color="auto" w:fill="DFDFDF"/>
          </w:tcPr>
          <w:p>
            <w:pPr>
              <w:rPr>
                <w:sz w:val="2"/>
                <w:szCs w:val="2"/>
              </w:rPr>
            </w:pPr>
          </w:p>
        </w:tc>
        <w:tc>
          <w:tcPr>
            <w:tcW w:w="1695" w:type="dxa"/>
            <w:tcBorders>
              <w:bottom w:val="single" w:sz="6" w:space="0" w:color="000000"/>
            </w:tcBorders>
            <w:shd w:val="clear" w:color="auto" w:fill="DFDFDF"/>
          </w:tcPr>
          <w:p>
            <w:pPr>
              <w:pStyle w:val="TableParagraph"/>
              <w:spacing w:line="189" w:lineRule="exact" w:before="107"/>
              <w:ind w:left="67"/>
              <w:jc w:val="left"/>
              <w:rPr>
                <w:sz w:val="18"/>
              </w:rPr>
            </w:pPr>
            <w:r>
              <w:rPr>
                <w:sz w:val="18"/>
              </w:rPr>
              <w:t>Return On Equity</w:t>
            </w:r>
          </w:p>
        </w:tc>
        <w:tc>
          <w:tcPr>
            <w:tcW w:w="1334" w:type="dxa"/>
            <w:tcBorders>
              <w:bottom w:val="single" w:sz="6" w:space="0" w:color="000000"/>
            </w:tcBorders>
          </w:tcPr>
          <w:p>
            <w:pPr>
              <w:pStyle w:val="TableParagraph"/>
              <w:spacing w:line="189" w:lineRule="exact" w:before="107"/>
              <w:ind w:left="629"/>
              <w:jc w:val="left"/>
              <w:rPr>
                <w:sz w:val="18"/>
              </w:rPr>
            </w:pPr>
            <w:r>
              <w:rPr>
                <w:sz w:val="18"/>
              </w:rPr>
              <w:t>-538.362</w:t>
            </w:r>
          </w:p>
        </w:tc>
        <w:tc>
          <w:tcPr>
            <w:tcW w:w="1329" w:type="dxa"/>
            <w:tcBorders>
              <w:bottom w:val="single" w:sz="6" w:space="0" w:color="000000"/>
            </w:tcBorders>
          </w:tcPr>
          <w:p>
            <w:pPr>
              <w:pStyle w:val="TableParagraph"/>
              <w:spacing w:line="189" w:lineRule="exact" w:before="107"/>
              <w:ind w:right="43"/>
              <w:rPr>
                <w:sz w:val="18"/>
              </w:rPr>
            </w:pPr>
            <w:r>
              <w:rPr>
                <w:sz w:val="18"/>
              </w:rPr>
              <w:t>323.590</w:t>
            </w:r>
          </w:p>
        </w:tc>
        <w:tc>
          <w:tcPr>
            <w:tcW w:w="1468" w:type="dxa"/>
            <w:tcBorders>
              <w:bottom w:val="single" w:sz="6" w:space="0" w:color="000000"/>
            </w:tcBorders>
          </w:tcPr>
          <w:p>
            <w:pPr>
              <w:pStyle w:val="TableParagraph"/>
              <w:spacing w:line="189" w:lineRule="exact" w:before="107"/>
              <w:ind w:right="42"/>
              <w:rPr>
                <w:sz w:val="18"/>
              </w:rPr>
            </w:pPr>
            <w:r>
              <w:rPr>
                <w:sz w:val="18"/>
              </w:rPr>
              <w:t>-.619</w:t>
            </w:r>
          </w:p>
        </w:tc>
        <w:tc>
          <w:tcPr>
            <w:tcW w:w="1026" w:type="dxa"/>
            <w:tcBorders>
              <w:bottom w:val="single" w:sz="6" w:space="0" w:color="000000"/>
            </w:tcBorders>
          </w:tcPr>
          <w:p>
            <w:pPr>
              <w:pStyle w:val="TableParagraph"/>
              <w:spacing w:line="189" w:lineRule="exact" w:before="107"/>
              <w:ind w:right="40"/>
              <w:rPr>
                <w:sz w:val="18"/>
              </w:rPr>
            </w:pPr>
            <w:r>
              <w:rPr>
                <w:sz w:val="18"/>
              </w:rPr>
              <w:t>-1.664</w:t>
            </w:r>
          </w:p>
        </w:tc>
        <w:tc>
          <w:tcPr>
            <w:tcW w:w="1021" w:type="dxa"/>
            <w:tcBorders>
              <w:bottom w:val="single" w:sz="6" w:space="0" w:color="000000"/>
            </w:tcBorders>
          </w:tcPr>
          <w:p>
            <w:pPr>
              <w:pStyle w:val="TableParagraph"/>
              <w:spacing w:line="189" w:lineRule="exact" w:before="107"/>
              <w:ind w:right="39"/>
              <w:rPr>
                <w:sz w:val="18"/>
              </w:rPr>
            </w:pPr>
            <w:r>
              <w:rPr>
                <w:sz w:val="18"/>
              </w:rPr>
              <w:t>.106</w:t>
            </w:r>
          </w:p>
        </w:tc>
      </w:tr>
      <w:tr>
        <w:trPr>
          <w:trHeight w:val="314" w:hRule="atLeast"/>
        </w:trPr>
        <w:tc>
          <w:tcPr>
            <w:tcW w:w="8607" w:type="dxa"/>
            <w:gridSpan w:val="7"/>
            <w:tcBorders>
              <w:top w:val="single" w:sz="6" w:space="0" w:color="000000"/>
            </w:tcBorders>
          </w:tcPr>
          <w:p>
            <w:pPr>
              <w:pStyle w:val="TableParagraph"/>
              <w:spacing w:line="191" w:lineRule="exact" w:before="103"/>
              <w:ind w:left="67"/>
              <w:jc w:val="left"/>
              <w:rPr>
                <w:sz w:val="18"/>
              </w:rPr>
            </w:pPr>
            <w:r>
              <w:rPr>
                <w:sz w:val="18"/>
              </w:rPr>
              <w:t>a. Dependent Variable: Harga Saham</w:t>
            </w:r>
          </w:p>
        </w:tc>
      </w:tr>
    </w:tbl>
    <w:p>
      <w:pPr>
        <w:pStyle w:val="BodyText"/>
        <w:ind w:left="586"/>
        <w:jc w:val="both"/>
      </w:pPr>
      <w:r>
        <w:rPr/>
        <w:t>Sumber: Olahan Data SPSS 24, 2020</w:t>
      </w:r>
    </w:p>
    <w:p>
      <w:pPr>
        <w:pStyle w:val="BodyText"/>
      </w:pPr>
    </w:p>
    <w:p>
      <w:pPr>
        <w:pStyle w:val="BodyText"/>
        <w:spacing w:line="480" w:lineRule="auto"/>
        <w:ind w:left="586" w:right="799" w:firstLine="566"/>
        <w:jc w:val="both"/>
      </w:pPr>
      <w:r>
        <w:rPr/>
        <w:t>Menurut tabel di atas, kami memperoleh estimasi variabel pengembalian aset dengan thitung 3,012. Nilai signifikansi adalah 0,005 &lt;0,05, </w:t>
      </w:r>
      <w:r>
        <w:rPr>
          <w:spacing w:val="-3"/>
        </w:rPr>
        <w:t>yang </w:t>
      </w:r>
      <w:r>
        <w:rPr/>
        <w:t>berarti bahwa pengembalian aset variabel memiliki dampak signifikan terhadap harga saham perusahaan di sub-industri semen. Asumsi bahwa return on </w:t>
      </w:r>
      <w:r>
        <w:rPr>
          <w:spacing w:val="-3"/>
        </w:rPr>
        <w:t>aset </w:t>
      </w:r>
      <w:r>
        <w:rPr/>
        <w:t>berpengaruh signifikan terhadap harga saham perusahaan sub sektor semen yang terdaftar di Bursa Efek Indonesia</w:t>
      </w:r>
      <w:r>
        <w:rPr>
          <w:spacing w:val="-2"/>
        </w:rPr>
        <w:t> </w:t>
      </w:r>
      <w:r>
        <w:rPr/>
        <w:t>diterima.</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0" w:firstLine="566"/>
        <w:jc w:val="both"/>
      </w:pPr>
      <w:r>
        <w:rPr/>
        <w:t>Selain itu, total estimasi variabel laba bersih bersih adalah -1,664. Nilai signifikansi 0,106&gt; 0,05 menunjukkan bahwa variabel hasil saham tidak berpengaruh signifikan terhadap harga saham. Ini menunjukkan bahwa setiap peningkatan dalam variabel pengembalian ekuitas perusahaan akan mengurangi harga saham perusahaan. Oleh karena itu, ini berarti bahwa asumsi bahwa pengembalian ekuitas memiliki dampak yang signifikan terhadap harga saham perusahaan sub-industri semen yang terdaftar di Bursa Efek Indonesia telah ditolak.</w:t>
      </w:r>
    </w:p>
    <w:p>
      <w:pPr>
        <w:pStyle w:val="Heading3"/>
        <w:numPr>
          <w:ilvl w:val="1"/>
          <w:numId w:val="21"/>
        </w:numPr>
        <w:tabs>
          <w:tab w:pos="1153" w:val="left" w:leader="none"/>
        </w:tabs>
        <w:spacing w:line="240" w:lineRule="auto" w:before="207" w:after="0"/>
        <w:ind w:left="1153" w:right="0" w:hanging="567"/>
        <w:jc w:val="both"/>
      </w:pPr>
      <w:r>
        <w:rPr/>
        <w:t>Pembahasan</w:t>
      </w:r>
    </w:p>
    <w:p>
      <w:pPr>
        <w:pStyle w:val="BodyText"/>
        <w:spacing w:before="1"/>
        <w:rPr>
          <w:b/>
        </w:rPr>
      </w:pPr>
    </w:p>
    <w:p>
      <w:pPr>
        <w:pStyle w:val="ListParagraph"/>
        <w:numPr>
          <w:ilvl w:val="0"/>
          <w:numId w:val="26"/>
        </w:numPr>
        <w:tabs>
          <w:tab w:pos="1153" w:val="left" w:leader="none"/>
        </w:tabs>
        <w:spacing w:line="480" w:lineRule="auto" w:before="0" w:after="0"/>
        <w:ind w:left="1153" w:right="799" w:hanging="567"/>
        <w:jc w:val="both"/>
        <w:rPr>
          <w:b/>
          <w:sz w:val="24"/>
        </w:rPr>
      </w:pPr>
      <w:r>
        <w:rPr>
          <w:b/>
          <w:sz w:val="24"/>
        </w:rPr>
        <w:t>Pengaruh </w:t>
      </w:r>
      <w:r>
        <w:rPr>
          <w:b/>
          <w:i/>
          <w:sz w:val="24"/>
        </w:rPr>
        <w:t>Return On Asset </w:t>
      </w:r>
      <w:r>
        <w:rPr>
          <w:b/>
          <w:sz w:val="24"/>
        </w:rPr>
        <w:t>(X1), Dan </w:t>
      </w:r>
      <w:r>
        <w:rPr>
          <w:b/>
          <w:i/>
          <w:sz w:val="24"/>
        </w:rPr>
        <w:t>Return On Equity </w:t>
      </w:r>
      <w:r>
        <w:rPr>
          <w:b/>
          <w:sz w:val="24"/>
        </w:rPr>
        <w:t>(X2) Secara Simultan Terhadap Harga Saham Pada Perusahaan Sub Sektor Semen Yang Terdaftar Di Bursa Efek</w:t>
      </w:r>
      <w:r>
        <w:rPr>
          <w:b/>
          <w:spacing w:val="-2"/>
          <w:sz w:val="24"/>
        </w:rPr>
        <w:t> </w:t>
      </w:r>
      <w:r>
        <w:rPr>
          <w:b/>
          <w:sz w:val="24"/>
        </w:rPr>
        <w:t>Indonesia.</w:t>
      </w:r>
    </w:p>
    <w:p>
      <w:pPr>
        <w:pStyle w:val="BodyText"/>
        <w:spacing w:line="480" w:lineRule="auto"/>
        <w:ind w:left="586" w:right="798" w:firstLine="566"/>
        <w:jc w:val="both"/>
      </w:pPr>
      <w:r>
        <w:rPr/>
        <w:t>Menurut hasil analisis data yang telah dilakukan, telah terbukti bahwa pengembalian aset dan pengembalian ekuitas bersama-sama memiliki dampak yang signifikan terhadap harga saham. Hal ini dapat dilihat dari nilai F yang dihitung sebesar 8,854 dan nilai signifikansi 0,000, yang berarti kurang dari 0,05, yang menunjukkan bahwa pengembalian aset dan pengembalian ekuitas memiliki dampak signifikan terhadap harga saham. Koefisien determinasi (R 0,597) menunjukkan bahwa setiap harga saham dipengaruhi oleh pengembalian aset variabel, sedangkan pengembalian ekuitas dipengaruhi oleh 59,7%, dan sisanya 40,3% dipengaruhi oleh variabel tidak diperiksa lainnya.</w:t>
      </w:r>
    </w:p>
    <w:p>
      <w:pPr>
        <w:spacing w:line="480" w:lineRule="auto" w:before="0"/>
        <w:ind w:left="586" w:right="792" w:firstLine="566"/>
        <w:jc w:val="both"/>
        <w:rPr>
          <w:sz w:val="24"/>
        </w:rPr>
      </w:pPr>
      <w:r>
        <w:rPr>
          <w:sz w:val="24"/>
        </w:rPr>
        <w:t>Adanya pengaruh </w:t>
      </w:r>
      <w:r>
        <w:rPr>
          <w:i/>
          <w:sz w:val="24"/>
        </w:rPr>
        <w:t>return on asset </w:t>
      </w:r>
      <w:r>
        <w:rPr>
          <w:sz w:val="24"/>
        </w:rPr>
        <w:t>dan </w:t>
      </w:r>
      <w:r>
        <w:rPr>
          <w:i/>
          <w:sz w:val="24"/>
        </w:rPr>
        <w:t>return on equity </w:t>
      </w:r>
      <w:r>
        <w:rPr>
          <w:sz w:val="24"/>
        </w:rPr>
        <w:t>terhadap harga saham disebabkan perusahaan mampu mengelola asset maupun modalnya untuk</w:t>
      </w:r>
    </w:p>
    <w:p>
      <w:pPr>
        <w:spacing w:after="0" w:line="480" w:lineRule="auto"/>
        <w:jc w:val="both"/>
        <w:rPr>
          <w:sz w:val="24"/>
        </w:rPr>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8"/>
        <w:jc w:val="both"/>
      </w:pPr>
      <w:r>
        <w:rPr/>
        <w:t>meningkatkan laba sehingga berpengaruh terhadap peningkatan harga saham. Hasil penelitian ini sejalan dengan teori menurut Brigham (2012) tentang pengaruh </w:t>
      </w:r>
      <w:r>
        <w:rPr>
          <w:i/>
        </w:rPr>
        <w:t>return on asset </w:t>
      </w:r>
      <w:r>
        <w:rPr/>
        <w:t>dan </w:t>
      </w:r>
      <w:r>
        <w:rPr>
          <w:i/>
        </w:rPr>
        <w:t>return on equity </w:t>
      </w:r>
      <w:r>
        <w:rPr/>
        <w:t>terhadap harga saham yang ada bahwa dengan tingginya </w:t>
      </w:r>
      <w:r>
        <w:rPr>
          <w:i/>
        </w:rPr>
        <w:t>return on asset </w:t>
      </w:r>
      <w:r>
        <w:rPr/>
        <w:t>dan </w:t>
      </w:r>
      <w:r>
        <w:rPr>
          <w:i/>
        </w:rPr>
        <w:t>return on equity </w:t>
      </w:r>
      <w:r>
        <w:rPr/>
        <w:t>akan membawa keberhasilan dan keuntungan bagi perusahaan sehingga mengakibatkan harga saham akan naik. Karena rasio ini menggambarkan seberapa baik perusahaan mampu mengembalikan apa </w:t>
      </w:r>
      <w:r>
        <w:rPr>
          <w:spacing w:val="-3"/>
        </w:rPr>
        <w:t>yang </w:t>
      </w:r>
      <w:r>
        <w:rPr/>
        <w:t>telah diinvestasikan oleh</w:t>
      </w:r>
      <w:r>
        <w:rPr>
          <w:spacing w:val="6"/>
        </w:rPr>
        <w:t> </w:t>
      </w:r>
      <w:r>
        <w:rPr/>
        <w:t>investor.</w:t>
      </w:r>
    </w:p>
    <w:p>
      <w:pPr>
        <w:pStyle w:val="BodyText"/>
        <w:spacing w:line="480" w:lineRule="auto" w:before="1"/>
        <w:ind w:left="586" w:right="797" w:firstLine="566"/>
        <w:jc w:val="both"/>
      </w:pPr>
      <w:r>
        <w:rPr/>
        <w:t>Hasil penelitian ini sama dengan penelitian sebelumnya yang dilakukan oleh Nordiana (2017), menunjukkan bahwa hasil uji F menunjukkan bahwa hasil Fhitung adalah 11,988, dengan tingkat signifikansi 0,001. Oleh karena itu, tingkat signifikansi kurang dari 0,05, dan dapat disimpulkan bahwa variabel pengembalian aset dan ekuitas berpengaruh signifikan terhadap harga saham secara simultan atau</w:t>
      </w:r>
      <w:r>
        <w:rPr>
          <w:spacing w:val="-1"/>
        </w:rPr>
        <w:t> </w:t>
      </w:r>
      <w:r>
        <w:rPr/>
        <w:t>bersama-sama.</w:t>
      </w:r>
    </w:p>
    <w:p>
      <w:pPr>
        <w:pStyle w:val="BodyText"/>
        <w:spacing w:line="480" w:lineRule="auto" w:before="1"/>
        <w:ind w:left="586" w:right="792" w:firstLine="566"/>
        <w:jc w:val="both"/>
      </w:pPr>
      <w:r>
        <w:rPr/>
        <w:t>Penelitian lainnya yang sesuai dengan hasi penelitian ini menurut Pratama, Devi Farah Azizah, &amp; Nurlaily (2019) diketahui bahwa hasil uji signifikansi </w:t>
      </w:r>
      <w:r>
        <w:rPr>
          <w:position w:val="2"/>
        </w:rPr>
        <w:t>simultan F</w:t>
      </w:r>
      <w:r>
        <w:rPr>
          <w:sz w:val="16"/>
        </w:rPr>
        <w:t>-hitung </w:t>
      </w:r>
      <w:r>
        <w:rPr>
          <w:position w:val="2"/>
        </w:rPr>
        <w:t>sebesar 108,651 dengan nilai signifikansi 0.000 lebih kecil dari</w:t>
      </w:r>
    </w:p>
    <w:p>
      <w:pPr>
        <w:pStyle w:val="BodyText"/>
        <w:spacing w:line="480" w:lineRule="auto"/>
        <w:ind w:left="586" w:right="797"/>
        <w:jc w:val="both"/>
      </w:pPr>
      <w:r>
        <w:rPr/>
        <w:t>0.05 atau 5%. Dapat disimpulkan bahwa model dalam penelitian ini dinyatakan bahwa </w:t>
      </w:r>
      <w:r>
        <w:rPr>
          <w:i/>
        </w:rPr>
        <w:t>return on asset </w:t>
      </w:r>
      <w:r>
        <w:rPr/>
        <w:t>dan </w:t>
      </w:r>
      <w:r>
        <w:rPr>
          <w:i/>
        </w:rPr>
        <w:t>return on equity </w:t>
      </w:r>
      <w:r>
        <w:rPr/>
        <w:t>secara bersamasama berpengaruh terhadap harga saham.</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ListParagraph"/>
        <w:numPr>
          <w:ilvl w:val="0"/>
          <w:numId w:val="26"/>
        </w:numPr>
        <w:tabs>
          <w:tab w:pos="1152" w:val="left" w:leader="none"/>
          <w:tab w:pos="1153" w:val="left" w:leader="none"/>
        </w:tabs>
        <w:spacing w:line="240" w:lineRule="auto" w:before="209" w:after="0"/>
        <w:ind w:left="1153" w:right="0" w:hanging="567"/>
        <w:jc w:val="left"/>
        <w:rPr>
          <w:b/>
          <w:sz w:val="24"/>
        </w:rPr>
      </w:pPr>
      <w:r>
        <w:rPr>
          <w:b/>
          <w:sz w:val="24"/>
        </w:rPr>
        <w:t>Pengaruh </w:t>
      </w:r>
      <w:r>
        <w:rPr>
          <w:b/>
          <w:i/>
          <w:sz w:val="24"/>
        </w:rPr>
        <w:t>Return On Asset</w:t>
      </w:r>
      <w:r>
        <w:rPr>
          <w:b/>
          <w:i/>
          <w:spacing w:val="20"/>
          <w:sz w:val="24"/>
        </w:rPr>
        <w:t> </w:t>
      </w:r>
      <w:r>
        <w:rPr>
          <w:b/>
          <w:sz w:val="24"/>
        </w:rPr>
        <w:t>(X1) Secara Parsial Terhadap Harga Saham</w:t>
      </w:r>
    </w:p>
    <w:p>
      <w:pPr>
        <w:pStyle w:val="BodyText"/>
        <w:rPr>
          <w:b/>
        </w:rPr>
      </w:pPr>
    </w:p>
    <w:p>
      <w:pPr>
        <w:pStyle w:val="Heading3"/>
        <w:spacing w:line="480" w:lineRule="auto" w:before="1"/>
        <w:ind w:right="798" w:firstLine="0"/>
      </w:pPr>
      <w:r>
        <w:rPr/>
        <w:t>(Y) Pada Perusahaan Sub Sektor Semen Yang Terdaftar Di Bursa Efek Indonesia.</w:t>
      </w:r>
    </w:p>
    <w:p>
      <w:pPr>
        <w:pStyle w:val="BodyText"/>
        <w:spacing w:line="480" w:lineRule="auto"/>
        <w:ind w:left="586" w:right="789" w:firstLine="566"/>
        <w:jc w:val="both"/>
      </w:pPr>
      <w:r>
        <w:rPr/>
        <w:t>Hasil pengujian hipotesis menunjukkan bahwa pengembalian aset memiliki dampak positif dan memiliki dampak signifikan terhadap harga saham. Hal ini karena perusahaan mampu mengelola asetnya untuk menghasilkan laba sehingga menarik minat investor. Selain itu hal ini juga menunjukkan bahwa tingkat pengembalian aset adalah rasio yang menggambarkan kemampuan perusahaan untuk menggunakan semua asetnya untuk menghasilkan laba setelah pajak (Sudana, 2014 : 22).</w:t>
      </w:r>
    </w:p>
    <w:p>
      <w:pPr>
        <w:pStyle w:val="BodyText"/>
        <w:spacing w:line="480" w:lineRule="auto"/>
        <w:ind w:left="586" w:right="799" w:firstLine="628"/>
        <w:jc w:val="both"/>
      </w:pPr>
      <w:r>
        <w:rPr/>
        <w:t>Semakin tinggi rasio, semakin baik produktivitas pendapatan aset bersih dan akan meningkatkan daya tarik perusahaan kepada investor. Meningkatnya daya tarik membuat perusahaan </w:t>
      </w:r>
      <w:r>
        <w:rPr>
          <w:spacing w:val="-3"/>
        </w:rPr>
        <w:t>lebih </w:t>
      </w:r>
      <w:r>
        <w:rPr/>
        <w:t>menarik bagi investor karena tingkat pengembalian akan lebih tinggi, sehingga pengembalian aset akan mempengaruhi harga saham perusahaan (Nurhasanah,</w:t>
      </w:r>
      <w:r>
        <w:rPr>
          <w:spacing w:val="1"/>
        </w:rPr>
        <w:t> </w:t>
      </w:r>
      <w:r>
        <w:rPr/>
        <w:t>2014).</w:t>
      </w:r>
    </w:p>
    <w:p>
      <w:pPr>
        <w:pStyle w:val="BodyText"/>
        <w:spacing w:line="480" w:lineRule="auto"/>
        <w:ind w:left="586" w:right="794" w:firstLine="566"/>
        <w:jc w:val="both"/>
      </w:pPr>
      <w:r>
        <w:rPr/>
        <w:t>Hasil penelitian sejalan dengan teori menurut Kasmir (2012 : 202) Semakin tinggi nilai pengembalian aset, semakin kuat kemampuan perusahaan untuk menggunakan asetnya untuk menghasilkan laba karena nilai laba atas aset perusahaan yang mempengaruhi laba atas saham yang diperoleh investor meningkat. Ini menunjukkan bahwa semakin banyak investor berniat untuk membeli saham perusahaan besar, yang akan menyebabkan harga saham perusahaan naik dan dapat meningkatkan pengembalian saham. (Sartono, 2014:249).</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796" w:firstLine="566"/>
        <w:jc w:val="both"/>
      </w:pPr>
      <w:r>
        <w:rPr/>
        <w:t>Penelitian ini didukung oleh peneliti sebelumnya Mayuni &amp; Suarjaya, (2018). Hasil penelitiannya menunjukkan bahwa pengembalian aset variabel memiliki pengaruh positif dan signifikan terhadap harga saham. (Fatichatur Rachmaniyah, 2018) Hasil penelitian menunjukkan bahwa pengembalian aset memiliki dampak positif dan signifikan terhadap harga saham.</w:t>
      </w:r>
    </w:p>
    <w:p>
      <w:pPr>
        <w:pStyle w:val="Heading3"/>
        <w:numPr>
          <w:ilvl w:val="0"/>
          <w:numId w:val="26"/>
        </w:numPr>
        <w:tabs>
          <w:tab w:pos="1153" w:val="left" w:leader="none"/>
        </w:tabs>
        <w:spacing w:line="480" w:lineRule="auto" w:before="5" w:after="0"/>
        <w:ind w:left="1153" w:right="799" w:hanging="567"/>
        <w:jc w:val="both"/>
      </w:pPr>
      <w:r>
        <w:rPr/>
        <w:t>Pengaruh </w:t>
      </w:r>
      <w:r>
        <w:rPr>
          <w:i/>
        </w:rPr>
        <w:t>Return On Equity </w:t>
      </w:r>
      <w:r>
        <w:rPr/>
        <w:t>(X2) Secara Parsial Terhadap Harga Saham (Y) Pada Perusahaan Sub Sektor Makanan dan Minuman Yang Terdftar Di Bursa Efek</w:t>
      </w:r>
      <w:r>
        <w:rPr>
          <w:spacing w:val="-4"/>
        </w:rPr>
        <w:t> </w:t>
      </w:r>
      <w:r>
        <w:rPr/>
        <w:t>Indonesia.</w:t>
      </w:r>
    </w:p>
    <w:p>
      <w:pPr>
        <w:pStyle w:val="BodyText"/>
        <w:spacing w:line="480" w:lineRule="auto"/>
        <w:ind w:left="586" w:right="791" w:firstLine="566"/>
        <w:jc w:val="both"/>
      </w:pPr>
      <w:r>
        <w:rPr/>
        <w:t>Hasil uji hipotesis menunjukkan bahwa return on equity tidak memiliki pengaruh pada harga saham, tetapi hanya berpengaruh kecil. Tidak adanya pengaruh yang signikan return on equity terhadap harga saham disebabkan oleh karena ROE perusahaan sub sektor semen cenderung mengalami fluktuasi yang disebabkan oleh kurangnya laba bersih </w:t>
      </w:r>
      <w:r>
        <w:rPr>
          <w:spacing w:val="2"/>
        </w:rPr>
        <w:t>dari </w:t>
      </w:r>
      <w:r>
        <w:rPr/>
        <w:t>modal sendiri perusahaan serta kurangnya laba penjualan usaha. </w:t>
      </w:r>
      <w:r>
        <w:rPr>
          <w:spacing w:val="-3"/>
        </w:rPr>
        <w:t>Selain </w:t>
      </w:r>
      <w:r>
        <w:rPr/>
        <w:t>itu </w:t>
      </w:r>
      <w:r>
        <w:rPr>
          <w:i/>
        </w:rPr>
        <w:t>Return on Equity </w:t>
      </w:r>
      <w:r>
        <w:rPr/>
        <w:t>tidak memiliki pengaruh terhadap naik turunnya harga saham. Hal ini dapat terjadi karena rasio ini lebih ditekankan pada unsur pengukuran kinerja keuangan internal perusahaan tanpa adanya unsur eksternal dari perusahaan. Selain itu </w:t>
      </w:r>
      <w:r>
        <w:rPr>
          <w:i/>
        </w:rPr>
        <w:t>Return on Equity </w:t>
      </w:r>
      <w:r>
        <w:rPr/>
        <w:t>tidak menunjukkan kondisi yang sesungguhnya ketika terjadi inflasi, karena saat terjadi inflasi jumlah ekuitas tidak terpengaruh, sehingga tidak dapat dijadikan perbandingan dengan tahun</w:t>
      </w:r>
      <w:r>
        <w:rPr>
          <w:spacing w:val="-10"/>
        </w:rPr>
        <w:t> </w:t>
      </w:r>
      <w:r>
        <w:rPr/>
        <w:t>sebelumnya.</w:t>
      </w:r>
    </w:p>
    <w:p>
      <w:pPr>
        <w:pStyle w:val="BodyText"/>
        <w:spacing w:line="480" w:lineRule="auto"/>
        <w:ind w:left="586" w:right="792" w:firstLine="566"/>
        <w:jc w:val="both"/>
      </w:pPr>
      <w:r>
        <w:rPr/>
        <w:t>Hasil penelitian ini tidak konsisten dengan teori yang dikemukakan oleh Rahmadewi &amp; Abundanti, (2018) </w:t>
      </w:r>
      <w:r>
        <w:rPr>
          <w:i/>
        </w:rPr>
        <w:t>Return on equity (ROE) </w:t>
      </w:r>
      <w:r>
        <w:rPr/>
        <w:t>yang lebih tinggi pasti akan menarik investor untuk berinvestasi di modal perusahaan, karena itu</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BodyText"/>
        <w:spacing w:line="480" w:lineRule="auto" w:before="205"/>
        <w:ind w:left="586" w:right="803"/>
        <w:jc w:val="both"/>
      </w:pPr>
      <w:r>
        <w:rPr/>
        <w:t>menunjukkan bahwa kinerja perusahaan itu baik, sehingga harga saham juga akan tinggi.</w:t>
      </w:r>
    </w:p>
    <w:p>
      <w:pPr>
        <w:pStyle w:val="BodyText"/>
        <w:spacing w:line="480" w:lineRule="auto"/>
        <w:ind w:left="586" w:right="789" w:firstLine="566"/>
        <w:jc w:val="both"/>
      </w:pPr>
      <w:r>
        <w:rPr/>
        <w:t>Hasil penelitian ini sejalan dengan hasil penelitian yang dilakukan oleh peneliti sebelumnya Sudjana (2013) Dikatakan bahwa laba atas ekuitas memiliki dampak negatif pada harga saham, tetapi tidak banyak berpengaruh. Hasil penelitian ini meniadakan teori sinyal (teori sinyal), yaitu, semakin tinggi pengembalian sinyal (teori pendapatan), Semakin baik status pemilik perusahaan. Tentu </w:t>
      </w:r>
      <w:r>
        <w:rPr>
          <w:spacing w:val="-3"/>
        </w:rPr>
        <w:t>saja, </w:t>
      </w:r>
      <w:r>
        <w:rPr/>
        <w:t>hasil logisnya adalah peningkatan kesejahteraan perusahaan. Pemegang saham perusahaan dalam konflik menyebabkan harga saham naik. Hasil penelitian ini juga negatif untuk ROE, </w:t>
      </w:r>
      <w:r>
        <w:rPr>
          <w:spacing w:val="-3"/>
        </w:rPr>
        <w:t>yang </w:t>
      </w:r>
      <w:r>
        <w:rPr/>
        <w:t>berarti bahwa perusahaan tidak dapat menghasilkan </w:t>
      </w:r>
      <w:r>
        <w:rPr>
          <w:spacing w:val="-3"/>
        </w:rPr>
        <w:t>laba </w:t>
      </w:r>
      <w:r>
        <w:rPr/>
        <w:t>dari modal sendiri dan oleh karena itu tidak dapat menguntungkan pemegang</w:t>
      </w:r>
      <w:r>
        <w:rPr>
          <w:spacing w:val="-2"/>
        </w:rPr>
        <w:t> </w:t>
      </w:r>
      <w:r>
        <w:rPr/>
        <w:t>saham.</w:t>
      </w:r>
    </w:p>
    <w:p>
      <w:pPr>
        <w:spacing w:after="0" w:line="480" w:lineRule="auto"/>
        <w:jc w:val="both"/>
        <w:sectPr>
          <w:pgSz w:w="11910" w:h="16840"/>
          <w:pgMar w:header="0" w:footer="998" w:top="1580" w:bottom="1180" w:left="1680" w:right="900"/>
        </w:sectPr>
      </w:pPr>
    </w:p>
    <w:p>
      <w:pPr>
        <w:pStyle w:val="BodyText"/>
        <w:rPr>
          <w:sz w:val="20"/>
        </w:rPr>
      </w:pPr>
    </w:p>
    <w:p>
      <w:pPr>
        <w:pStyle w:val="BodyText"/>
        <w:rPr>
          <w:sz w:val="20"/>
        </w:rPr>
      </w:pPr>
    </w:p>
    <w:p>
      <w:pPr>
        <w:pStyle w:val="Heading2"/>
        <w:spacing w:line="482" w:lineRule="auto" w:before="206"/>
        <w:ind w:left="2752" w:right="2948" w:firstLine="1378"/>
        <w:jc w:val="left"/>
      </w:pPr>
      <w:r>
        <w:rPr/>
        <w:t>BAB V KESIMPULAN DAN SARAN</w:t>
      </w:r>
    </w:p>
    <w:p>
      <w:pPr>
        <w:pStyle w:val="Heading3"/>
        <w:numPr>
          <w:ilvl w:val="1"/>
          <w:numId w:val="27"/>
        </w:numPr>
        <w:tabs>
          <w:tab w:pos="1153" w:val="left" w:leader="none"/>
        </w:tabs>
        <w:spacing w:line="240" w:lineRule="auto" w:before="0" w:after="0"/>
        <w:ind w:left="1153" w:right="0" w:hanging="567"/>
        <w:jc w:val="both"/>
      </w:pPr>
      <w:r>
        <w:rPr/>
        <w:t>Simpulan</w:t>
      </w:r>
    </w:p>
    <w:p>
      <w:pPr>
        <w:pStyle w:val="BodyText"/>
        <w:spacing w:before="7"/>
        <w:rPr>
          <w:b/>
          <w:sz w:val="23"/>
        </w:rPr>
      </w:pPr>
    </w:p>
    <w:p>
      <w:pPr>
        <w:pStyle w:val="BodyText"/>
        <w:spacing w:line="480" w:lineRule="auto"/>
        <w:ind w:left="586" w:right="807" w:firstLine="532"/>
        <w:jc w:val="both"/>
      </w:pPr>
      <w:r>
        <w:rPr/>
        <w:t>Berdasarkan hasil analisis data dan pengujian hipotesis statisitik pada penelitian ini, maka dapat dapat ditarik kesimpulan sebagai berikut :</w:t>
      </w:r>
    </w:p>
    <w:p>
      <w:pPr>
        <w:pStyle w:val="ListParagraph"/>
        <w:numPr>
          <w:ilvl w:val="0"/>
          <w:numId w:val="28"/>
        </w:numPr>
        <w:tabs>
          <w:tab w:pos="1153" w:val="left" w:leader="none"/>
        </w:tabs>
        <w:spacing w:line="480" w:lineRule="auto" w:before="159" w:after="0"/>
        <w:ind w:left="1153" w:right="793" w:hanging="567"/>
        <w:jc w:val="both"/>
        <w:rPr>
          <w:sz w:val="24"/>
        </w:rPr>
      </w:pPr>
      <w:r>
        <w:rPr>
          <w:i/>
          <w:sz w:val="24"/>
        </w:rPr>
        <w:t>Return On Asset </w:t>
      </w:r>
      <w:r>
        <w:rPr>
          <w:sz w:val="24"/>
        </w:rPr>
        <w:t>dan </w:t>
      </w:r>
      <w:r>
        <w:rPr>
          <w:i/>
          <w:sz w:val="24"/>
        </w:rPr>
        <w:t>Return On Equity </w:t>
      </w:r>
      <w:r>
        <w:rPr>
          <w:sz w:val="24"/>
        </w:rPr>
        <w:t>secara simultan berpengaruh positif dan signifikan terhadap Harga Saham pada perusahaan sub sektor Semen yang terdaftar di Bursa Efek</w:t>
      </w:r>
      <w:r>
        <w:rPr>
          <w:spacing w:val="-1"/>
          <w:sz w:val="24"/>
        </w:rPr>
        <w:t> </w:t>
      </w:r>
      <w:r>
        <w:rPr>
          <w:sz w:val="24"/>
        </w:rPr>
        <w:t>Indonesia</w:t>
      </w:r>
    </w:p>
    <w:p>
      <w:pPr>
        <w:pStyle w:val="ListParagraph"/>
        <w:numPr>
          <w:ilvl w:val="0"/>
          <w:numId w:val="28"/>
        </w:numPr>
        <w:tabs>
          <w:tab w:pos="1153" w:val="left" w:leader="none"/>
        </w:tabs>
        <w:spacing w:line="480" w:lineRule="auto" w:before="1" w:after="0"/>
        <w:ind w:left="1153" w:right="799" w:hanging="567"/>
        <w:jc w:val="both"/>
        <w:rPr>
          <w:sz w:val="24"/>
        </w:rPr>
      </w:pPr>
      <w:r>
        <w:rPr>
          <w:i/>
          <w:sz w:val="24"/>
        </w:rPr>
        <w:t>Return On Asset </w:t>
      </w:r>
      <w:r>
        <w:rPr>
          <w:sz w:val="24"/>
        </w:rPr>
        <w:t>secara parsial berpengaruh positif dan signifikan terhadap Harga Saham pada perusahaan sub sektor Semen yang terdaftar di Bursa Efek</w:t>
      </w:r>
      <w:r>
        <w:rPr>
          <w:spacing w:val="1"/>
          <w:sz w:val="24"/>
        </w:rPr>
        <w:t> </w:t>
      </w:r>
      <w:r>
        <w:rPr>
          <w:sz w:val="24"/>
        </w:rPr>
        <w:t>Indonesia</w:t>
      </w:r>
    </w:p>
    <w:p>
      <w:pPr>
        <w:pStyle w:val="ListParagraph"/>
        <w:numPr>
          <w:ilvl w:val="0"/>
          <w:numId w:val="28"/>
        </w:numPr>
        <w:tabs>
          <w:tab w:pos="1153" w:val="left" w:leader="none"/>
        </w:tabs>
        <w:spacing w:line="480" w:lineRule="auto" w:before="0" w:after="0"/>
        <w:ind w:left="1153" w:right="790" w:hanging="567"/>
        <w:jc w:val="both"/>
        <w:rPr>
          <w:sz w:val="24"/>
        </w:rPr>
      </w:pPr>
      <w:r>
        <w:rPr>
          <w:i/>
          <w:sz w:val="24"/>
        </w:rPr>
        <w:t>Return On Equity </w:t>
      </w:r>
      <w:r>
        <w:rPr>
          <w:sz w:val="24"/>
        </w:rPr>
        <w:t>secara parsial berpengaruh negatif dan tidak signifikan terhadap Harga Saham pada perusahaan sub sektor Semen </w:t>
      </w:r>
      <w:r>
        <w:rPr>
          <w:spacing w:val="-3"/>
          <w:sz w:val="24"/>
        </w:rPr>
        <w:t>yang </w:t>
      </w:r>
      <w:r>
        <w:rPr>
          <w:sz w:val="24"/>
        </w:rPr>
        <w:t>terdaftar di Bursa Efek</w:t>
      </w:r>
      <w:r>
        <w:rPr>
          <w:spacing w:val="3"/>
          <w:sz w:val="24"/>
        </w:rPr>
        <w:t> </w:t>
      </w:r>
      <w:r>
        <w:rPr>
          <w:sz w:val="24"/>
        </w:rPr>
        <w:t>Indonesia</w:t>
      </w:r>
    </w:p>
    <w:p>
      <w:pPr>
        <w:pStyle w:val="Heading3"/>
        <w:numPr>
          <w:ilvl w:val="1"/>
          <w:numId w:val="27"/>
        </w:numPr>
        <w:tabs>
          <w:tab w:pos="1153" w:val="left" w:leader="none"/>
        </w:tabs>
        <w:spacing w:line="240" w:lineRule="auto" w:before="6" w:after="0"/>
        <w:ind w:left="1153" w:right="0" w:hanging="567"/>
        <w:jc w:val="both"/>
      </w:pPr>
      <w:r>
        <w:rPr/>
        <w:t>Saran</w:t>
      </w:r>
    </w:p>
    <w:p>
      <w:pPr>
        <w:pStyle w:val="BodyText"/>
        <w:spacing w:before="7"/>
        <w:rPr>
          <w:b/>
          <w:sz w:val="23"/>
        </w:rPr>
      </w:pPr>
    </w:p>
    <w:p>
      <w:pPr>
        <w:pStyle w:val="BodyText"/>
        <w:spacing w:line="480" w:lineRule="auto"/>
        <w:ind w:left="586" w:right="804" w:firstLine="566"/>
        <w:jc w:val="both"/>
      </w:pPr>
      <w:r>
        <w:rPr/>
        <w:t>Berdasrkan hasil penelitian dan kesimpulan di atas maka penulis mengemukakan saran sebagai berikut:</w:t>
      </w:r>
    </w:p>
    <w:p>
      <w:pPr>
        <w:pStyle w:val="ListParagraph"/>
        <w:numPr>
          <w:ilvl w:val="0"/>
          <w:numId w:val="29"/>
        </w:numPr>
        <w:tabs>
          <w:tab w:pos="1153" w:val="left" w:leader="none"/>
        </w:tabs>
        <w:spacing w:line="480" w:lineRule="auto" w:before="0" w:after="0"/>
        <w:ind w:left="1153" w:right="798" w:hanging="567"/>
        <w:jc w:val="both"/>
        <w:rPr>
          <w:sz w:val="24"/>
        </w:rPr>
      </w:pPr>
      <w:r>
        <w:rPr>
          <w:sz w:val="24"/>
        </w:rPr>
        <w:t>Disarankan kepada pimpinan perusahaan sub sektor </w:t>
      </w:r>
      <w:r>
        <w:rPr>
          <w:spacing w:val="-3"/>
          <w:sz w:val="24"/>
        </w:rPr>
        <w:t>Semen, </w:t>
      </w:r>
      <w:r>
        <w:rPr>
          <w:sz w:val="24"/>
        </w:rPr>
        <w:t>Sebaiknya perusahaan dalam </w:t>
      </w:r>
      <w:r>
        <w:rPr>
          <w:spacing w:val="-3"/>
          <w:sz w:val="24"/>
        </w:rPr>
        <w:t>penyusunan </w:t>
      </w:r>
      <w:r>
        <w:rPr>
          <w:sz w:val="24"/>
        </w:rPr>
        <w:t>laporan </w:t>
      </w:r>
      <w:r>
        <w:rPr>
          <w:spacing w:val="-3"/>
          <w:sz w:val="24"/>
        </w:rPr>
        <w:t>keuangan </w:t>
      </w:r>
      <w:r>
        <w:rPr>
          <w:sz w:val="24"/>
        </w:rPr>
        <w:t>dengan keadaan </w:t>
      </w:r>
      <w:r>
        <w:rPr>
          <w:spacing w:val="-4"/>
          <w:sz w:val="24"/>
        </w:rPr>
        <w:t>yang </w:t>
      </w:r>
      <w:r>
        <w:rPr>
          <w:spacing w:val="-3"/>
          <w:sz w:val="24"/>
        </w:rPr>
        <w:t>sebenarnya </w:t>
      </w:r>
      <w:r>
        <w:rPr>
          <w:sz w:val="24"/>
        </w:rPr>
        <w:t>atau </w:t>
      </w:r>
      <w:r>
        <w:rPr>
          <w:spacing w:val="-4"/>
          <w:sz w:val="24"/>
        </w:rPr>
        <w:t>yang </w:t>
      </w:r>
      <w:r>
        <w:rPr>
          <w:spacing w:val="-3"/>
          <w:sz w:val="24"/>
        </w:rPr>
        <w:t>benar </w:t>
      </w:r>
      <w:r>
        <w:rPr>
          <w:sz w:val="24"/>
        </w:rPr>
        <w:t>terjadi pada </w:t>
      </w:r>
      <w:r>
        <w:rPr>
          <w:spacing w:val="-3"/>
          <w:sz w:val="24"/>
        </w:rPr>
        <w:t>perusahaan </w:t>
      </w:r>
      <w:r>
        <w:rPr>
          <w:sz w:val="24"/>
        </w:rPr>
        <w:t>di Bursa Efek </w:t>
      </w:r>
      <w:r>
        <w:rPr>
          <w:spacing w:val="-3"/>
          <w:sz w:val="24"/>
        </w:rPr>
        <w:t>Indonesia sehingga </w:t>
      </w:r>
      <w:r>
        <w:rPr>
          <w:sz w:val="24"/>
        </w:rPr>
        <w:t>tidak </w:t>
      </w:r>
      <w:r>
        <w:rPr>
          <w:spacing w:val="-3"/>
          <w:sz w:val="24"/>
        </w:rPr>
        <w:t>merugikan </w:t>
      </w:r>
      <w:r>
        <w:rPr>
          <w:sz w:val="24"/>
        </w:rPr>
        <w:t>para </w:t>
      </w:r>
      <w:r>
        <w:rPr>
          <w:spacing w:val="-3"/>
          <w:sz w:val="24"/>
        </w:rPr>
        <w:t>investor </w:t>
      </w:r>
      <w:r>
        <w:rPr>
          <w:sz w:val="24"/>
        </w:rPr>
        <w:t>dalam </w:t>
      </w:r>
      <w:r>
        <w:rPr>
          <w:spacing w:val="-3"/>
          <w:sz w:val="24"/>
        </w:rPr>
        <w:t>mengambil</w:t>
      </w:r>
      <w:r>
        <w:rPr>
          <w:spacing w:val="-30"/>
          <w:sz w:val="24"/>
        </w:rPr>
        <w:t> </w:t>
      </w:r>
      <w:r>
        <w:rPr>
          <w:sz w:val="24"/>
        </w:rPr>
        <w:t>keputusan.</w:t>
      </w:r>
    </w:p>
    <w:p>
      <w:pPr>
        <w:pStyle w:val="ListParagraph"/>
        <w:numPr>
          <w:ilvl w:val="0"/>
          <w:numId w:val="29"/>
        </w:numPr>
        <w:tabs>
          <w:tab w:pos="1153" w:val="left" w:leader="none"/>
        </w:tabs>
        <w:spacing w:line="480" w:lineRule="auto" w:before="1" w:after="0"/>
        <w:ind w:left="1153" w:right="794" w:hanging="567"/>
        <w:jc w:val="both"/>
        <w:rPr>
          <w:sz w:val="24"/>
        </w:rPr>
      </w:pPr>
      <w:r>
        <w:rPr>
          <w:sz w:val="24"/>
        </w:rPr>
        <w:t>Bagi peneliti selanjutnya, dalam melakukan penelitian yang berkaitan dengan rasio keuangan maupun harga saham suatu perusahaan hendaknya</w:t>
      </w:r>
    </w:p>
    <w:p>
      <w:pPr>
        <w:spacing w:after="0" w:line="480" w:lineRule="auto"/>
        <w:jc w:val="both"/>
        <w:rPr>
          <w:sz w:val="24"/>
        </w:rPr>
        <w:sectPr>
          <w:footerReference w:type="default" r:id="rId23"/>
          <w:pgSz w:w="11910" w:h="16840"/>
          <w:pgMar w:footer="0" w:header="0" w:top="1580" w:bottom="280" w:left="1680" w:right="900"/>
        </w:sectPr>
      </w:pPr>
    </w:p>
    <w:p>
      <w:pPr>
        <w:pStyle w:val="BodyText"/>
        <w:rPr>
          <w:sz w:val="20"/>
        </w:rPr>
      </w:pPr>
    </w:p>
    <w:p>
      <w:pPr>
        <w:pStyle w:val="BodyText"/>
        <w:rPr>
          <w:sz w:val="20"/>
        </w:rPr>
      </w:pPr>
    </w:p>
    <w:p>
      <w:pPr>
        <w:pStyle w:val="BodyText"/>
        <w:spacing w:line="480" w:lineRule="auto" w:before="205"/>
        <w:ind w:left="1153" w:right="797"/>
        <w:jc w:val="both"/>
      </w:pPr>
      <w:r>
        <w:rPr/>
        <w:t>dapat mengembangkan lagi penelitiannya baik itu menambahkan rasio yang mau diteliti atau menggunakan objek penelitian yang lain sehingga pihak perusahaan memperoleh kinerja yang baik dalam mengembangkan perusahaannya.</w:t>
      </w:r>
    </w:p>
    <w:p>
      <w:pPr>
        <w:spacing w:after="0" w:line="480" w:lineRule="auto"/>
        <w:jc w:val="both"/>
        <w:sectPr>
          <w:footerReference w:type="default" r:id="rId24"/>
          <w:pgSz w:w="11910" w:h="16840"/>
          <w:pgMar w:footer="998" w:header="0" w:top="1580" w:bottom="1180" w:left="1680" w:right="900"/>
          <w:pgNumType w:start="55"/>
        </w:sectPr>
      </w:pPr>
    </w:p>
    <w:p>
      <w:pPr>
        <w:pStyle w:val="BodyText"/>
        <w:rPr>
          <w:sz w:val="20"/>
        </w:rPr>
      </w:pPr>
    </w:p>
    <w:p>
      <w:pPr>
        <w:pStyle w:val="BodyText"/>
        <w:rPr>
          <w:sz w:val="20"/>
        </w:rPr>
      </w:pPr>
    </w:p>
    <w:p>
      <w:pPr>
        <w:pStyle w:val="Heading2"/>
        <w:spacing w:before="206"/>
        <w:ind w:left="802" w:right="1012"/>
      </w:pPr>
      <w:r>
        <w:rPr/>
        <w:t>DAFTAR PUSTAKA</w:t>
      </w:r>
    </w:p>
    <w:p>
      <w:pPr>
        <w:pStyle w:val="BodyText"/>
        <w:rPr>
          <w:b/>
          <w:sz w:val="30"/>
        </w:rPr>
      </w:pPr>
    </w:p>
    <w:p>
      <w:pPr>
        <w:pStyle w:val="BodyText"/>
        <w:rPr>
          <w:b/>
          <w:sz w:val="30"/>
        </w:rPr>
      </w:pPr>
    </w:p>
    <w:p>
      <w:pPr>
        <w:pStyle w:val="BodyText"/>
        <w:spacing w:before="6"/>
        <w:rPr>
          <w:b/>
          <w:sz w:val="37"/>
        </w:rPr>
      </w:pPr>
    </w:p>
    <w:p>
      <w:pPr>
        <w:spacing w:line="247" w:lineRule="auto" w:before="0"/>
        <w:ind w:left="1066" w:right="795" w:hanging="480"/>
        <w:jc w:val="both"/>
        <w:rPr>
          <w:sz w:val="24"/>
        </w:rPr>
      </w:pPr>
      <w:r>
        <w:rPr>
          <w:sz w:val="24"/>
        </w:rPr>
        <w:t>agus Sartono. (2012). </w:t>
      </w:r>
      <w:r>
        <w:rPr>
          <w:i/>
          <w:sz w:val="24"/>
        </w:rPr>
        <w:t>Manajemen Keuangan Teori Dan Aplikasi</w:t>
      </w:r>
      <w:r>
        <w:rPr>
          <w:sz w:val="24"/>
        </w:rPr>
        <w:t>. Yogyakarta: Bpfe.</w:t>
      </w:r>
    </w:p>
    <w:p>
      <w:pPr>
        <w:pStyle w:val="BodyText"/>
        <w:spacing w:line="242" w:lineRule="auto" w:before="142"/>
        <w:ind w:left="1066" w:right="800" w:hanging="480"/>
        <w:jc w:val="both"/>
      </w:pPr>
      <w:r>
        <w:rPr/>
        <w:t>Alfianti, D., &amp; Sonja, A. (2017). Pengaruh Profitabilitas Terhadap Harga Saham Pada Perusahaan Makan Dan Minuman Yang Terdaftar Di Bursa Efek Indonesia. </w:t>
      </w:r>
      <w:r>
        <w:rPr>
          <w:i/>
        </w:rPr>
        <w:t>Jurnal Bisnis Indonesia</w:t>
      </w:r>
      <w:r>
        <w:rPr/>
        <w:t>, </w:t>
      </w:r>
      <w:r>
        <w:rPr>
          <w:i/>
        </w:rPr>
        <w:t>8</w:t>
      </w:r>
      <w:r>
        <w:rPr/>
        <w:t>(1), 45–56.</w:t>
      </w:r>
    </w:p>
    <w:p>
      <w:pPr>
        <w:spacing w:line="242" w:lineRule="auto" w:before="153"/>
        <w:ind w:left="1066" w:right="799" w:hanging="480"/>
        <w:jc w:val="both"/>
        <w:rPr>
          <w:sz w:val="24"/>
        </w:rPr>
      </w:pPr>
      <w:r>
        <w:rPr>
          <w:sz w:val="24"/>
        </w:rPr>
        <w:t>Alipudin, A., &amp; Oktaviani, R. (2016). Pengaruh Eps, Roe, Roa Dan Der Terhadap Harga Saham Pada Perusahaan Sub Sektor Semen Yang Terdaftar Di Bei. </w:t>
      </w:r>
      <w:r>
        <w:rPr>
          <w:i/>
          <w:sz w:val="24"/>
        </w:rPr>
        <w:t>Jiafe(Jurnal Ilmiah Akuntansi Fakultas Ekonomi)</w:t>
      </w:r>
      <w:r>
        <w:rPr>
          <w:sz w:val="24"/>
        </w:rPr>
        <w:t>, </w:t>
      </w:r>
      <w:r>
        <w:rPr>
          <w:i/>
          <w:sz w:val="24"/>
        </w:rPr>
        <w:t>2</w:t>
      </w:r>
      <w:r>
        <w:rPr>
          <w:sz w:val="24"/>
        </w:rPr>
        <w:t>(1), 1–22.</w:t>
      </w:r>
    </w:p>
    <w:p>
      <w:pPr>
        <w:spacing w:line="242" w:lineRule="auto" w:before="153"/>
        <w:ind w:left="1066" w:right="793" w:hanging="480"/>
        <w:jc w:val="both"/>
        <w:rPr>
          <w:sz w:val="24"/>
        </w:rPr>
      </w:pPr>
      <w:r>
        <w:rPr>
          <w:sz w:val="24"/>
        </w:rPr>
        <w:t>Amalya, N. T. (2018). Pengaruh Return On Asset, Return On Equity, Net </w:t>
      </w:r>
      <w:r>
        <w:rPr>
          <w:spacing w:val="-3"/>
          <w:sz w:val="24"/>
        </w:rPr>
        <w:t>Profit </w:t>
      </w:r>
      <w:r>
        <w:rPr>
          <w:sz w:val="24"/>
        </w:rPr>
        <w:t>Margin Dan Debt To Equity Ratio Terhadap Harga </w:t>
      </w:r>
      <w:r>
        <w:rPr>
          <w:spacing w:val="-3"/>
          <w:sz w:val="24"/>
        </w:rPr>
        <w:t>Saham. </w:t>
      </w:r>
      <w:r>
        <w:rPr>
          <w:i/>
          <w:sz w:val="24"/>
        </w:rPr>
        <w:t>E-Jurnal </w:t>
      </w:r>
      <w:r>
        <w:rPr>
          <w:i/>
          <w:sz w:val="24"/>
        </w:rPr>
        <w:t>Sekuritas (Saham, Ekonomi, Keuangan Dan Investasi)</w:t>
      </w:r>
      <w:r>
        <w:rPr>
          <w:sz w:val="24"/>
        </w:rPr>
        <w:t>, </w:t>
      </w:r>
      <w:r>
        <w:rPr>
          <w:i/>
          <w:sz w:val="24"/>
        </w:rPr>
        <w:t>1</w:t>
      </w:r>
      <w:r>
        <w:rPr>
          <w:sz w:val="24"/>
        </w:rPr>
        <w:t>(3), 157–181. Https://Doi.Org/10.32493/Skt.V1i3.1096</w:t>
      </w:r>
    </w:p>
    <w:p>
      <w:pPr>
        <w:spacing w:line="247" w:lineRule="auto" w:before="148"/>
        <w:ind w:left="1066" w:right="798" w:hanging="480"/>
        <w:jc w:val="both"/>
        <w:rPr>
          <w:sz w:val="24"/>
        </w:rPr>
      </w:pPr>
      <w:r>
        <w:rPr>
          <w:sz w:val="24"/>
        </w:rPr>
        <w:t>Brigham, F, E., &amp; Houston. (2006). </w:t>
      </w:r>
      <w:r>
        <w:rPr>
          <w:i/>
          <w:sz w:val="24"/>
        </w:rPr>
        <w:t>Fundamental Of Financialmanagement: </w:t>
      </w:r>
      <w:r>
        <w:rPr>
          <w:i/>
          <w:sz w:val="24"/>
        </w:rPr>
        <w:t>Dasar-Dasar Manajemen Keuangan</w:t>
      </w:r>
      <w:r>
        <w:rPr>
          <w:sz w:val="24"/>
        </w:rPr>
        <w:t>. Jakarta: Salemba Empat.</w:t>
      </w:r>
    </w:p>
    <w:p>
      <w:pPr>
        <w:spacing w:line="242" w:lineRule="auto" w:before="147"/>
        <w:ind w:left="1066" w:right="795" w:hanging="480"/>
        <w:jc w:val="both"/>
        <w:rPr>
          <w:sz w:val="24"/>
        </w:rPr>
      </w:pPr>
      <w:r>
        <w:rPr>
          <w:sz w:val="24"/>
        </w:rPr>
        <w:t>Brigham, &amp; Houston. (2010). </w:t>
      </w:r>
      <w:r>
        <w:rPr>
          <w:i/>
          <w:sz w:val="24"/>
        </w:rPr>
        <w:t>Dasar Dasar Manajemen Keuangan</w:t>
      </w:r>
      <w:r>
        <w:rPr>
          <w:sz w:val="24"/>
        </w:rPr>
        <w:t>. Jakarta: Salemba Empat.</w:t>
      </w:r>
    </w:p>
    <w:p>
      <w:pPr>
        <w:pStyle w:val="BodyText"/>
        <w:spacing w:line="242" w:lineRule="auto" w:before="153"/>
        <w:ind w:left="1066" w:right="793" w:hanging="480"/>
        <w:jc w:val="both"/>
      </w:pPr>
      <w:r>
        <w:rPr/>
        <w:t>Egam, G. E. Y., Ilat, V., &amp; Pangerapan, S. (2017). Pengaruh Return On Asset (Roa), Return On Equity (Roe), Net Profit Margin (Npm), Dan Earning Per Share (Eps) Terhadap Harga Saham Perusahaan Yang Tergabung Dalam Indeks Lq45 Di Bursa Efek Indonesia Periode Tahun 2013-2015. </w:t>
      </w:r>
      <w:r>
        <w:rPr>
          <w:i/>
        </w:rPr>
        <w:t>Jurnal </w:t>
      </w:r>
      <w:r>
        <w:rPr>
          <w:i/>
        </w:rPr>
        <w:t>Emba: Jurnal Riset Ekonomi, Manajemen, Bisnis Dan Akuntansi</w:t>
      </w:r>
      <w:r>
        <w:rPr/>
        <w:t>, </w:t>
      </w:r>
      <w:r>
        <w:rPr>
          <w:i/>
        </w:rPr>
        <w:t>5</w:t>
      </w:r>
      <w:r>
        <w:rPr/>
        <w:t>(1), 105– 114.</w:t>
      </w:r>
    </w:p>
    <w:p>
      <w:pPr>
        <w:spacing w:line="247" w:lineRule="auto" w:before="143"/>
        <w:ind w:left="1066" w:right="792" w:hanging="480"/>
        <w:jc w:val="both"/>
        <w:rPr>
          <w:sz w:val="24"/>
        </w:rPr>
      </w:pPr>
      <w:r>
        <w:rPr>
          <w:sz w:val="24"/>
        </w:rPr>
        <w:t>Fatichatur Rachmaniyah. (2018). </w:t>
      </w:r>
      <w:r>
        <w:rPr>
          <w:i/>
          <w:sz w:val="24"/>
        </w:rPr>
        <w:t>Pengaruh Profitabilitas Terhadap Harga Saham </w:t>
      </w:r>
      <w:r>
        <w:rPr>
          <w:i/>
          <w:sz w:val="24"/>
        </w:rPr>
        <w:t>Pada Pt. Semen Indonesia Periode 2012-2017</w:t>
      </w:r>
      <w:r>
        <w:rPr>
          <w:sz w:val="24"/>
        </w:rPr>
        <w:t>. </w:t>
      </w:r>
      <w:r>
        <w:rPr>
          <w:i/>
          <w:sz w:val="24"/>
        </w:rPr>
        <w:t>10</w:t>
      </w:r>
      <w:r>
        <w:rPr>
          <w:sz w:val="24"/>
        </w:rPr>
        <w:t>(2), 1–15.</w:t>
      </w:r>
    </w:p>
    <w:p>
      <w:pPr>
        <w:spacing w:line="242" w:lineRule="auto" w:before="146"/>
        <w:ind w:left="1066" w:right="796" w:hanging="480"/>
        <w:jc w:val="both"/>
        <w:rPr>
          <w:sz w:val="24"/>
        </w:rPr>
      </w:pPr>
      <w:r>
        <w:rPr>
          <w:sz w:val="24"/>
        </w:rPr>
        <w:t>Ghozali, I. (2005). Aplikasi Analisis Multivariate Dengan Program Spss, Edisi Kelima. In </w:t>
      </w:r>
      <w:r>
        <w:rPr>
          <w:i/>
          <w:sz w:val="24"/>
        </w:rPr>
        <w:t>Aplikasi Analisis Multivariate Dengan Program Spss</w:t>
      </w:r>
      <w:r>
        <w:rPr>
          <w:sz w:val="24"/>
        </w:rPr>
        <w:t>. Https://Doi.Org/10.9744/Jmk.10.2.Pp. 124-135</w:t>
      </w:r>
    </w:p>
    <w:p>
      <w:pPr>
        <w:spacing w:line="420" w:lineRule="atLeast" w:before="14"/>
        <w:ind w:left="586" w:right="794" w:firstLine="0"/>
        <w:jc w:val="both"/>
        <w:rPr>
          <w:sz w:val="24"/>
        </w:rPr>
      </w:pPr>
      <w:r>
        <w:rPr>
          <w:sz w:val="24"/>
        </w:rPr>
        <w:t>Hanafi, M. D. A. H. (2012). </w:t>
      </w:r>
      <w:r>
        <w:rPr>
          <w:i/>
          <w:sz w:val="24"/>
        </w:rPr>
        <w:t>Analisis Laporan Keuangan</w:t>
      </w:r>
      <w:r>
        <w:rPr>
          <w:sz w:val="24"/>
        </w:rPr>
        <w:t>. Yogyakarta: Stim Ykpn. Harahap, S. S. (2013). </w:t>
      </w:r>
      <w:r>
        <w:rPr>
          <w:i/>
          <w:sz w:val="24"/>
        </w:rPr>
        <w:t>Analisis Kritis Atas Laporan Keuangan</w:t>
      </w:r>
      <w:r>
        <w:rPr>
          <w:sz w:val="24"/>
        </w:rPr>
        <w:t>. Jakarta:</w:t>
      </w:r>
    </w:p>
    <w:p>
      <w:pPr>
        <w:pStyle w:val="BodyText"/>
        <w:spacing w:before="15"/>
        <w:ind w:left="1066"/>
        <w:jc w:val="both"/>
      </w:pPr>
      <w:r>
        <w:rPr/>
        <w:t>Rajagrafindo Persada.</w:t>
      </w:r>
    </w:p>
    <w:p>
      <w:pPr>
        <w:spacing w:before="156"/>
        <w:ind w:left="586" w:right="0" w:firstLine="0"/>
        <w:jc w:val="both"/>
        <w:rPr>
          <w:sz w:val="24"/>
        </w:rPr>
      </w:pPr>
      <w:r>
        <w:rPr>
          <w:sz w:val="24"/>
        </w:rPr>
        <w:t>Husnan, S. (2002). </w:t>
      </w:r>
      <w:r>
        <w:rPr>
          <w:i/>
          <w:sz w:val="24"/>
        </w:rPr>
        <w:t>Manajemen Keuangan Teori Dan Praktek Yayasan</w:t>
      </w:r>
      <w:r>
        <w:rPr>
          <w:sz w:val="24"/>
        </w:rPr>
        <w:t>.</w:t>
      </w:r>
    </w:p>
    <w:p>
      <w:pPr>
        <w:pStyle w:val="BodyText"/>
        <w:spacing w:before="2"/>
        <w:ind w:left="1066"/>
        <w:jc w:val="both"/>
      </w:pPr>
      <w:r>
        <w:rPr/>
        <w:t>Yogyakarta: Badan Penerbit Gajah Mada.</w:t>
      </w:r>
    </w:p>
    <w:p>
      <w:pPr>
        <w:spacing w:line="237" w:lineRule="auto" w:before="159"/>
        <w:ind w:left="1066" w:right="798" w:hanging="480"/>
        <w:jc w:val="both"/>
        <w:rPr>
          <w:i/>
          <w:sz w:val="24"/>
        </w:rPr>
      </w:pPr>
      <w:r>
        <w:rPr>
          <w:sz w:val="24"/>
        </w:rPr>
        <w:t>I Made Sudana. (2014). Manajemen Keuangan Perusahaan Teori Dan Praktik. Jakarta: Erlangga. In </w:t>
      </w:r>
      <w:r>
        <w:rPr>
          <w:i/>
          <w:sz w:val="24"/>
        </w:rPr>
        <w:t>Pemikiran Islam Di Malaysia: Sejarah Dan Aliran</w:t>
      </w:r>
    </w:p>
    <w:p>
      <w:pPr>
        <w:spacing w:after="0" w:line="237" w:lineRule="auto"/>
        <w:jc w:val="both"/>
        <w:rPr>
          <w:sz w:val="24"/>
        </w:rPr>
        <w:sectPr>
          <w:pgSz w:w="11910" w:h="16840"/>
          <w:pgMar w:header="0" w:footer="998" w:top="1580" w:bottom="1180" w:left="1680" w:right="900"/>
        </w:sectPr>
      </w:pPr>
    </w:p>
    <w:p>
      <w:pPr>
        <w:pStyle w:val="BodyText"/>
        <w:rPr>
          <w:i/>
          <w:sz w:val="20"/>
        </w:rPr>
      </w:pPr>
    </w:p>
    <w:p>
      <w:pPr>
        <w:pStyle w:val="BodyText"/>
        <w:rPr>
          <w:i/>
          <w:sz w:val="20"/>
        </w:rPr>
      </w:pPr>
    </w:p>
    <w:p>
      <w:pPr>
        <w:pStyle w:val="BodyText"/>
        <w:spacing w:before="205"/>
        <w:ind w:left="1066"/>
      </w:pPr>
      <w:r>
        <w:rPr/>
        <w:t>(Vol. 20).</w:t>
      </w:r>
    </w:p>
    <w:p>
      <w:pPr>
        <w:spacing w:line="247" w:lineRule="auto" w:before="156"/>
        <w:ind w:left="1066" w:right="794" w:hanging="480"/>
        <w:jc w:val="left"/>
        <w:rPr>
          <w:sz w:val="24"/>
        </w:rPr>
      </w:pPr>
      <w:r>
        <w:rPr>
          <w:sz w:val="24"/>
        </w:rPr>
        <w:t>Irham Fahmi. (2013). </w:t>
      </w:r>
      <w:r>
        <w:rPr>
          <w:i/>
          <w:sz w:val="24"/>
        </w:rPr>
        <w:t>Manajemen Keuangan Teori Dan Soal Jawab</w:t>
      </w:r>
      <w:r>
        <w:rPr>
          <w:sz w:val="24"/>
        </w:rPr>
        <w:t>. Bandung: Alfabeta.</w:t>
      </w:r>
    </w:p>
    <w:p>
      <w:pPr>
        <w:spacing w:before="151"/>
        <w:ind w:left="586" w:right="0" w:firstLine="0"/>
        <w:jc w:val="left"/>
        <w:rPr>
          <w:sz w:val="24"/>
        </w:rPr>
      </w:pPr>
      <w:r>
        <w:rPr>
          <w:sz w:val="24"/>
        </w:rPr>
        <w:t>Irham Fahmi. (2014). </w:t>
      </w:r>
      <w:r>
        <w:rPr>
          <w:i/>
          <w:sz w:val="24"/>
        </w:rPr>
        <w:t>Analisis Laporan Keuangan</w:t>
      </w:r>
      <w:r>
        <w:rPr>
          <w:sz w:val="24"/>
        </w:rPr>
        <w:t>. Bandung: Alfabeta.</w:t>
      </w:r>
    </w:p>
    <w:p>
      <w:pPr>
        <w:spacing w:line="247" w:lineRule="auto" w:before="151"/>
        <w:ind w:left="1066" w:right="794" w:hanging="480"/>
        <w:jc w:val="left"/>
        <w:rPr>
          <w:sz w:val="24"/>
        </w:rPr>
      </w:pPr>
      <w:r>
        <w:rPr>
          <w:sz w:val="24"/>
        </w:rPr>
        <w:t>Jogiyanto. (2003). </w:t>
      </w:r>
      <w:r>
        <w:rPr>
          <w:i/>
          <w:sz w:val="24"/>
        </w:rPr>
        <w:t>Teori Portofolio Dan Analisis Investasi</w:t>
      </w:r>
      <w:r>
        <w:rPr>
          <w:sz w:val="24"/>
        </w:rPr>
        <w:t>. Yogyakarta: Bpfe Yogyakarta.</w:t>
      </w:r>
    </w:p>
    <w:p>
      <w:pPr>
        <w:spacing w:line="379" w:lineRule="auto" w:before="152"/>
        <w:ind w:left="586" w:right="1246" w:firstLine="0"/>
        <w:jc w:val="left"/>
        <w:rPr>
          <w:sz w:val="24"/>
        </w:rPr>
      </w:pPr>
      <w:r>
        <w:rPr>
          <w:sz w:val="24"/>
        </w:rPr>
        <w:t>Jogiyanto. (2008). </w:t>
      </w:r>
      <w:r>
        <w:rPr>
          <w:i/>
          <w:sz w:val="24"/>
        </w:rPr>
        <w:t>Teori Portofolio Dan Analisis Investasi</w:t>
      </w:r>
      <w:r>
        <w:rPr>
          <w:sz w:val="24"/>
        </w:rPr>
        <w:t>. Yogyakarta: </w:t>
      </w:r>
      <w:r>
        <w:rPr>
          <w:spacing w:val="-3"/>
          <w:sz w:val="24"/>
        </w:rPr>
        <w:t>Bpfe. </w:t>
      </w:r>
      <w:r>
        <w:rPr>
          <w:sz w:val="24"/>
        </w:rPr>
        <w:t>Kasmir. (2012). </w:t>
      </w:r>
      <w:r>
        <w:rPr>
          <w:i/>
          <w:sz w:val="24"/>
        </w:rPr>
        <w:t>Analisis Laporan Keuangan</w:t>
      </w:r>
      <w:r>
        <w:rPr>
          <w:sz w:val="24"/>
        </w:rPr>
        <w:t>. Jakarta: Rajawali</w:t>
      </w:r>
      <w:r>
        <w:rPr>
          <w:spacing w:val="-11"/>
          <w:sz w:val="24"/>
        </w:rPr>
        <w:t> </w:t>
      </w:r>
      <w:r>
        <w:rPr>
          <w:sz w:val="24"/>
        </w:rPr>
        <w:t>Pers.</w:t>
      </w:r>
    </w:p>
    <w:p>
      <w:pPr>
        <w:spacing w:line="273" w:lineRule="exact" w:before="0"/>
        <w:ind w:left="586" w:right="0" w:firstLine="0"/>
        <w:jc w:val="left"/>
        <w:rPr>
          <w:sz w:val="24"/>
        </w:rPr>
      </w:pPr>
      <w:r>
        <w:rPr>
          <w:sz w:val="24"/>
        </w:rPr>
        <w:t>Kasmir. (2017). </w:t>
      </w:r>
      <w:r>
        <w:rPr>
          <w:i/>
          <w:sz w:val="24"/>
        </w:rPr>
        <w:t>Analisis Laporan Keuangan</w:t>
      </w:r>
      <w:r>
        <w:rPr>
          <w:sz w:val="24"/>
        </w:rPr>
        <w:t>. Jakarta: Rajawali</w:t>
      </w:r>
      <w:r>
        <w:rPr>
          <w:spacing w:val="-26"/>
          <w:sz w:val="24"/>
        </w:rPr>
        <w:t> </w:t>
      </w:r>
      <w:r>
        <w:rPr>
          <w:sz w:val="24"/>
        </w:rPr>
        <w:t>Pers.</w:t>
      </w:r>
    </w:p>
    <w:p>
      <w:pPr>
        <w:pStyle w:val="BodyText"/>
        <w:spacing w:line="242" w:lineRule="auto" w:before="157"/>
        <w:ind w:left="1066" w:right="798" w:hanging="480"/>
        <w:jc w:val="both"/>
      </w:pPr>
      <w:r>
        <w:rPr/>
        <w:t>Mayuni, I. A. I., &amp; Suarjaya, G. (2018). Pengaruh Roa, Firm Size, Eps, Dan Per Terhadap Return Saham Pada Sektor Manufaktur Di Bei. </w:t>
      </w:r>
      <w:r>
        <w:rPr>
          <w:i/>
        </w:rPr>
        <w:t>E-Jurnal </w:t>
      </w:r>
      <w:r>
        <w:rPr>
          <w:i/>
        </w:rPr>
        <w:t>Manajemen Unud</w:t>
      </w:r>
      <w:r>
        <w:rPr/>
        <w:t>, </w:t>
      </w:r>
      <w:r>
        <w:rPr>
          <w:i/>
        </w:rPr>
        <w:t>7</w:t>
      </w:r>
      <w:r>
        <w:rPr/>
        <w:t>(8), 4063–4093.</w:t>
      </w:r>
    </w:p>
    <w:p>
      <w:pPr>
        <w:pStyle w:val="BodyText"/>
        <w:tabs>
          <w:tab w:pos="3178" w:val="left" w:leader="none"/>
          <w:tab w:pos="4570" w:val="left" w:leader="none"/>
          <w:tab w:pos="6670" w:val="left" w:leader="none"/>
          <w:tab w:pos="8105" w:val="left" w:leader="none"/>
        </w:tabs>
        <w:spacing w:before="153"/>
        <w:ind w:left="1066" w:right="796" w:hanging="480"/>
        <w:jc w:val="both"/>
      </w:pPr>
      <w:r>
        <w:rPr/>
        <w:t>Mugi, A., Irwanto, </w:t>
      </w:r>
      <w:r>
        <w:rPr>
          <w:spacing w:val="-3"/>
        </w:rPr>
        <w:t>A. </w:t>
      </w:r>
      <w:r>
        <w:rPr/>
        <w:t>K., &amp; Permanasari, Y. (2016). Analisis Pengaruh Rasio Profitabilitas Dan Economic Value Added Terhadap Harga Saham Pada </w:t>
      </w:r>
      <w:r>
        <w:rPr>
          <w:spacing w:val="3"/>
        </w:rPr>
        <w:t>Sub </w:t>
      </w:r>
      <w:r>
        <w:rPr/>
        <w:t>Sektor Industri Semen Yang Terdaftar Di Bursa Efek Indonesia. </w:t>
      </w:r>
      <w:r>
        <w:rPr>
          <w:i/>
        </w:rPr>
        <w:t>Jurnal </w:t>
      </w:r>
      <w:r>
        <w:rPr>
          <w:i/>
        </w:rPr>
        <w:t>Manajemen</w:t>
        <w:tab/>
        <w:t>Dan</w:t>
        <w:tab/>
        <w:t>Organisasi</w:t>
      </w:r>
      <w:r>
        <w:rPr/>
        <w:t>,</w:t>
        <w:tab/>
      </w:r>
      <w:r>
        <w:rPr>
          <w:i/>
        </w:rPr>
        <w:t>5</w:t>
      </w:r>
      <w:r>
        <w:rPr/>
        <w:t>(2),</w:t>
        <w:tab/>
      </w:r>
      <w:r>
        <w:rPr>
          <w:spacing w:val="-5"/>
        </w:rPr>
        <w:t>139.</w:t>
      </w:r>
    </w:p>
    <w:p>
      <w:pPr>
        <w:pStyle w:val="BodyText"/>
        <w:spacing w:before="5"/>
        <w:ind w:left="1066"/>
      </w:pPr>
      <w:r>
        <w:rPr/>
        <w:t>Https://Doi.Org/10.29244/Jmo.V5i2.12154</w:t>
      </w:r>
    </w:p>
    <w:p>
      <w:pPr>
        <w:spacing w:line="242" w:lineRule="auto" w:before="156"/>
        <w:ind w:left="1066" w:right="800" w:hanging="480"/>
        <w:jc w:val="both"/>
        <w:rPr>
          <w:sz w:val="24"/>
        </w:rPr>
      </w:pPr>
      <w:r>
        <w:rPr>
          <w:sz w:val="24"/>
        </w:rPr>
        <w:t>Nordiana, A. (2017). </w:t>
      </w:r>
      <w:r>
        <w:rPr>
          <w:i/>
          <w:sz w:val="24"/>
        </w:rPr>
        <w:t>Pengaruh Der, Roa Dan Roe Terhadap Harga Saham Pada </w:t>
      </w:r>
      <w:r>
        <w:rPr>
          <w:i/>
          <w:sz w:val="24"/>
        </w:rPr>
        <w:t>Perusahaan Food And Beverage Sekolah Tinggi Ilmu Ekonomi Indonesia (Stiesia) Surabaya</w:t>
      </w:r>
      <w:r>
        <w:rPr>
          <w:sz w:val="24"/>
        </w:rPr>
        <w:t>. </w:t>
      </w:r>
      <w:r>
        <w:rPr>
          <w:i/>
          <w:sz w:val="24"/>
        </w:rPr>
        <w:t>6</w:t>
      </w:r>
      <w:r>
        <w:rPr>
          <w:sz w:val="24"/>
        </w:rPr>
        <w:t>.</w:t>
      </w:r>
    </w:p>
    <w:p>
      <w:pPr>
        <w:spacing w:line="242" w:lineRule="auto" w:before="153"/>
        <w:ind w:left="1066" w:right="795" w:hanging="480"/>
        <w:jc w:val="both"/>
        <w:rPr>
          <w:sz w:val="24"/>
        </w:rPr>
      </w:pPr>
      <w:r>
        <w:rPr>
          <w:sz w:val="24"/>
        </w:rPr>
        <w:t>Nurhasanah, R. (2014). </w:t>
      </w:r>
      <w:r>
        <w:rPr>
          <w:i/>
          <w:sz w:val="24"/>
        </w:rPr>
        <w:t>Pengaruh Roa,Roe,Dan Eps Terhadap Harga Saham </w:t>
      </w:r>
      <w:r>
        <w:rPr>
          <w:i/>
          <w:sz w:val="24"/>
        </w:rPr>
        <w:t>(Survey Pada Perusahaan Lq45 Yang Terdaftar Di Bei Periode 2007-2011)</w:t>
      </w:r>
      <w:r>
        <w:rPr>
          <w:sz w:val="24"/>
        </w:rPr>
        <w:t>. </w:t>
      </w:r>
      <w:r>
        <w:rPr>
          <w:i/>
          <w:sz w:val="24"/>
        </w:rPr>
        <w:t>7</w:t>
      </w:r>
      <w:r>
        <w:rPr>
          <w:sz w:val="24"/>
        </w:rPr>
        <w:t>, 2010–2012.</w:t>
      </w:r>
    </w:p>
    <w:p>
      <w:pPr>
        <w:pStyle w:val="BodyText"/>
        <w:spacing w:before="152"/>
        <w:ind w:left="1066" w:right="793" w:hanging="480"/>
        <w:jc w:val="both"/>
      </w:pPr>
      <w:r>
        <w:rPr/>
        <w:t>Perdana, Putri, Agustine, R., Darminto, &amp; Sudjana, N. (2013). Pengaruh Return On Equity (Roe), Earning Per Share (Eps), Dan Debt Equity Ratio (Der) Terhadap Harga Saham (Studi Pada Perusahaan Makanan Dan Minuman Yang Go Public Di Bursa Efek Indonesia Periode 2008-2011). </w:t>
      </w:r>
      <w:r>
        <w:rPr>
          <w:i/>
        </w:rPr>
        <w:t>Jurnal </w:t>
      </w:r>
      <w:r>
        <w:rPr>
          <w:i/>
        </w:rPr>
        <w:t>Administrasi Bisnis</w:t>
      </w:r>
      <w:r>
        <w:rPr/>
        <w:t>, </w:t>
      </w:r>
      <w:r>
        <w:rPr>
          <w:i/>
        </w:rPr>
        <w:t>2</w:t>
      </w:r>
      <w:r>
        <w:rPr/>
        <w:t>(1), 128–137.</w:t>
      </w:r>
    </w:p>
    <w:p>
      <w:pPr>
        <w:spacing w:line="242" w:lineRule="auto" w:before="157"/>
        <w:ind w:left="1066" w:right="798" w:hanging="480"/>
        <w:jc w:val="both"/>
        <w:rPr>
          <w:sz w:val="24"/>
        </w:rPr>
      </w:pPr>
      <w:r>
        <w:rPr>
          <w:sz w:val="24"/>
        </w:rPr>
        <w:t>Praditha, H. E. (2018). </w:t>
      </w:r>
      <w:r>
        <w:rPr>
          <w:i/>
          <w:sz w:val="24"/>
        </w:rPr>
        <w:t>Pengaruh Return On Assets, Return On Equity , Dan </w:t>
      </w:r>
      <w:r>
        <w:rPr>
          <w:i/>
          <w:sz w:val="24"/>
        </w:rPr>
        <w:t>Earning Per Share Terhadap Harga Saham Pada Perusahaan Yang Terdaftar Di Jakarta Islamic Index (Jii) Periode 2014-2016</w:t>
      </w:r>
      <w:r>
        <w:rPr>
          <w:sz w:val="24"/>
        </w:rPr>
        <w:t>. Institut Agama Islam Negeri Surakarta.</w:t>
      </w:r>
    </w:p>
    <w:p>
      <w:pPr>
        <w:pStyle w:val="BodyText"/>
        <w:spacing w:before="153"/>
        <w:ind w:left="1066" w:right="800" w:hanging="480"/>
        <w:jc w:val="both"/>
      </w:pPr>
      <w:r>
        <w:rPr/>
        <w:t>Pratama, C. A., Devi Farah Azizah, &amp; Nurlaily, F. (2019). Pengaruh Return On Equity (Roe), Earning Per Share (Eps), Current Ratio (Cr) Dan Debt To Equity Ratio (Der) Terhadap Harga Saham. </w:t>
      </w:r>
      <w:r>
        <w:rPr>
          <w:i/>
        </w:rPr>
        <w:t>Jurnal Administrasi Bisnis</w:t>
      </w:r>
      <w:r>
        <w:rPr/>
        <w:t>, </w:t>
      </w:r>
      <w:r>
        <w:rPr>
          <w:i/>
        </w:rPr>
        <w:t>66</w:t>
      </w:r>
      <w:r>
        <w:rPr/>
        <w:t>(1), 10–17. Retrieved From</w:t>
      </w:r>
      <w:r>
        <w:rPr>
          <w:spacing w:val="-16"/>
        </w:rPr>
        <w:t> </w:t>
      </w:r>
      <w:r>
        <w:rPr/>
        <w:t>Administrasibisnis.Studentjournal.Ub.Ac.Id</w:t>
      </w:r>
    </w:p>
    <w:p>
      <w:pPr>
        <w:pStyle w:val="BodyText"/>
        <w:spacing w:line="237" w:lineRule="auto" w:before="161"/>
        <w:ind w:left="1066" w:right="799" w:hanging="480"/>
        <w:jc w:val="both"/>
        <w:rPr>
          <w:i/>
        </w:rPr>
      </w:pPr>
      <w:r>
        <w:rPr/>
        <w:t>Rahmadewi, P. W., &amp; Abundanti, N. (2018). Pengaruh Eps, Per, Cr Dan Roe Terhadap Harga Saham Di Bursa Efek Indonesia. </w:t>
      </w:r>
      <w:r>
        <w:rPr>
          <w:i/>
        </w:rPr>
        <w:t>E-Jurnal Manajemen</w:t>
      </w:r>
    </w:p>
    <w:p>
      <w:pPr>
        <w:spacing w:after="0" w:line="237" w:lineRule="auto"/>
        <w:jc w:val="both"/>
        <w:sectPr>
          <w:pgSz w:w="11910" w:h="16840"/>
          <w:pgMar w:header="0" w:footer="998" w:top="1580" w:bottom="1180" w:left="1680" w:right="900"/>
        </w:sectPr>
      </w:pPr>
    </w:p>
    <w:p>
      <w:pPr>
        <w:pStyle w:val="BodyText"/>
        <w:rPr>
          <w:i/>
          <w:sz w:val="20"/>
        </w:rPr>
      </w:pPr>
    </w:p>
    <w:p>
      <w:pPr>
        <w:pStyle w:val="BodyText"/>
        <w:spacing w:before="6"/>
        <w:rPr>
          <w:i/>
          <w:sz w:val="29"/>
        </w:rPr>
      </w:pPr>
    </w:p>
    <w:p>
      <w:pPr>
        <w:tabs>
          <w:tab w:pos="3643" w:val="left" w:leader="none"/>
          <w:tab w:pos="6060" w:val="left" w:leader="none"/>
          <w:tab w:pos="7989" w:val="left" w:leader="none"/>
        </w:tabs>
        <w:spacing w:before="90"/>
        <w:ind w:left="1066" w:right="0" w:firstLine="0"/>
        <w:jc w:val="left"/>
        <w:rPr>
          <w:sz w:val="24"/>
        </w:rPr>
      </w:pPr>
      <w:r>
        <w:rPr>
          <w:i/>
          <w:sz w:val="24"/>
        </w:rPr>
        <w:t>Universitas</w:t>
        <w:tab/>
        <w:t>Udayana</w:t>
      </w:r>
      <w:r>
        <w:rPr>
          <w:sz w:val="24"/>
        </w:rPr>
        <w:t>,</w:t>
        <w:tab/>
      </w:r>
      <w:r>
        <w:rPr>
          <w:i/>
          <w:sz w:val="24"/>
        </w:rPr>
        <w:t>7</w:t>
      </w:r>
      <w:r>
        <w:rPr>
          <w:sz w:val="24"/>
        </w:rPr>
        <w:t>(4),</w:t>
        <w:tab/>
        <w:t>2106.</w:t>
      </w:r>
    </w:p>
    <w:p>
      <w:pPr>
        <w:pStyle w:val="BodyText"/>
        <w:spacing w:before="8"/>
        <w:ind w:left="1066"/>
      </w:pPr>
      <w:r>
        <w:rPr/>
        <w:t>Https://Doi.Org/10.24843/Ejmunud.2018.V07.I04.P14</w:t>
      </w:r>
    </w:p>
    <w:p>
      <w:pPr>
        <w:spacing w:line="242" w:lineRule="auto" w:before="156"/>
        <w:ind w:left="1066" w:right="794" w:hanging="480"/>
        <w:jc w:val="left"/>
        <w:rPr>
          <w:sz w:val="24"/>
        </w:rPr>
      </w:pPr>
      <w:r>
        <w:rPr>
          <w:sz w:val="24"/>
        </w:rPr>
        <w:t>Riduwan. (2014). </w:t>
      </w:r>
      <w:r>
        <w:rPr>
          <w:i/>
          <w:sz w:val="24"/>
        </w:rPr>
        <w:t>Metode Dan Tehnik Menyusun Tesis </w:t>
      </w:r>
      <w:r>
        <w:rPr>
          <w:sz w:val="24"/>
        </w:rPr>
        <w:t>(Ketiga). Bandung: Alfabeta.</w:t>
      </w:r>
    </w:p>
    <w:p>
      <w:pPr>
        <w:pStyle w:val="BodyText"/>
        <w:spacing w:line="247" w:lineRule="auto" w:before="153"/>
        <w:ind w:left="1066" w:right="794" w:hanging="480"/>
      </w:pPr>
      <w:r>
        <w:rPr/>
        <w:t>Santi Octaviani, &amp; Komalasarai, D. (2017). Pengaruh Likuiditas, Profitabilitas, Dan Solvabilitas Terhadap Harga Saham. </w:t>
      </w:r>
      <w:r>
        <w:rPr>
          <w:i/>
        </w:rPr>
        <w:t>E-Jurnal Akuntansi</w:t>
      </w:r>
      <w:r>
        <w:rPr/>
        <w:t>, </w:t>
      </w:r>
      <w:r>
        <w:rPr>
          <w:i/>
        </w:rPr>
        <w:t>3</w:t>
      </w:r>
      <w:r>
        <w:rPr/>
        <w:t>(2), 77–89.</w:t>
      </w:r>
    </w:p>
    <w:p>
      <w:pPr>
        <w:spacing w:line="247" w:lineRule="auto" w:before="142"/>
        <w:ind w:left="1066" w:right="794" w:hanging="480"/>
        <w:jc w:val="left"/>
        <w:rPr>
          <w:sz w:val="24"/>
        </w:rPr>
      </w:pPr>
      <w:r>
        <w:rPr>
          <w:sz w:val="24"/>
        </w:rPr>
        <w:t>Sugiyono. (2015). </w:t>
      </w:r>
      <w:r>
        <w:rPr>
          <w:i/>
          <w:sz w:val="24"/>
        </w:rPr>
        <w:t>Metode Penelitian Pendekatan Kuantitatif Dan Kualitatif Dan </w:t>
      </w:r>
      <w:r>
        <w:rPr>
          <w:i/>
          <w:sz w:val="24"/>
        </w:rPr>
        <w:t>R&amp;D</w:t>
      </w:r>
      <w:r>
        <w:rPr>
          <w:sz w:val="24"/>
        </w:rPr>
        <w:t>. Bandung: Alfabeta.</w:t>
      </w:r>
    </w:p>
    <w:p>
      <w:pPr>
        <w:spacing w:line="242" w:lineRule="auto" w:before="147"/>
        <w:ind w:left="1066" w:right="1246" w:hanging="480"/>
        <w:jc w:val="left"/>
        <w:rPr>
          <w:sz w:val="24"/>
        </w:rPr>
      </w:pPr>
      <w:r>
        <w:rPr>
          <w:sz w:val="24"/>
        </w:rPr>
        <w:t>Sutrisno. (2017). </w:t>
      </w:r>
      <w:r>
        <w:rPr>
          <w:i/>
          <w:sz w:val="24"/>
        </w:rPr>
        <w:t>Manajemen Keuangan Teori Dan Aplikasi</w:t>
      </w:r>
      <w:r>
        <w:rPr>
          <w:sz w:val="24"/>
        </w:rPr>
        <w:t>. Yogyakarta: Ekonisia.</w:t>
      </w:r>
    </w:p>
    <w:p>
      <w:pPr>
        <w:spacing w:line="247" w:lineRule="auto" w:before="153"/>
        <w:ind w:left="1066" w:right="1246" w:hanging="480"/>
        <w:jc w:val="left"/>
        <w:rPr>
          <w:sz w:val="24"/>
        </w:rPr>
      </w:pPr>
      <w:r>
        <w:rPr>
          <w:sz w:val="24"/>
        </w:rPr>
        <w:t>Tjiptono, D., &amp; Fakhruddin. (2012). </w:t>
      </w:r>
      <w:r>
        <w:rPr>
          <w:i/>
          <w:sz w:val="24"/>
        </w:rPr>
        <w:t>Pasar Modal Di Indonesia Pendekatan </w:t>
      </w:r>
      <w:r>
        <w:rPr>
          <w:i/>
          <w:sz w:val="24"/>
        </w:rPr>
        <w:t>Tanya Jawab</w:t>
      </w:r>
      <w:r>
        <w:rPr>
          <w:sz w:val="24"/>
        </w:rPr>
        <w:t>. Jakarta: Salemba</w:t>
      </w:r>
      <w:r>
        <w:rPr>
          <w:spacing w:val="7"/>
          <w:sz w:val="24"/>
        </w:rPr>
        <w:t> </w:t>
      </w:r>
      <w:r>
        <w:rPr>
          <w:sz w:val="24"/>
        </w:rPr>
        <w:t>Empat.</w:t>
      </w:r>
    </w:p>
    <w:p>
      <w:pPr>
        <w:spacing w:line="247" w:lineRule="auto" w:before="142"/>
        <w:ind w:left="1066" w:right="794" w:hanging="480"/>
        <w:jc w:val="left"/>
        <w:rPr>
          <w:sz w:val="24"/>
        </w:rPr>
      </w:pPr>
      <w:r>
        <w:rPr>
          <w:sz w:val="24"/>
        </w:rPr>
        <w:t>Widoatmojo, &amp; Sawidji. (2005). </w:t>
      </w:r>
      <w:r>
        <w:rPr>
          <w:i/>
          <w:sz w:val="24"/>
        </w:rPr>
        <w:t>Cara Sehat Investasi Di Pasar Modal</w:t>
      </w:r>
      <w:r>
        <w:rPr>
          <w:sz w:val="24"/>
        </w:rPr>
        <w:t>. Jakarta: Jurnalindo Aksara Grafika.</w:t>
      </w:r>
    </w:p>
    <w:p>
      <w:pPr>
        <w:spacing w:after="0" w:line="247" w:lineRule="auto"/>
        <w:jc w:val="left"/>
        <w:rPr>
          <w:sz w:val="24"/>
        </w:rPr>
        <w:sectPr>
          <w:pgSz w:w="11910" w:h="16840"/>
          <w:pgMar w:header="0" w:footer="998" w:top="1580" w:bottom="1180" w:left="168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ind w:left="219"/>
      </w:pPr>
      <w:r>
        <w:rPr/>
        <w:t>LAMPIRAN</w:t>
      </w:r>
    </w:p>
    <w:p>
      <w:pPr>
        <w:pStyle w:val="BodyText"/>
        <w:spacing w:before="3"/>
        <w:rPr>
          <w:sz w:val="14"/>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1551"/>
        <w:gridCol w:w="1388"/>
        <w:gridCol w:w="1393"/>
        <w:gridCol w:w="1393"/>
        <w:gridCol w:w="1388"/>
        <w:gridCol w:w="1392"/>
        <w:gridCol w:w="1388"/>
        <w:gridCol w:w="1393"/>
      </w:tblGrid>
      <w:tr>
        <w:trPr>
          <w:trHeight w:val="330" w:hRule="atLeast"/>
        </w:trPr>
        <w:tc>
          <w:tcPr>
            <w:tcW w:w="600" w:type="dxa"/>
            <w:vMerge w:val="restart"/>
          </w:tcPr>
          <w:p>
            <w:pPr>
              <w:pStyle w:val="TableParagraph"/>
              <w:spacing w:line="240" w:lineRule="auto" w:before="189"/>
              <w:ind w:left="153"/>
              <w:jc w:val="left"/>
              <w:rPr>
                <w:sz w:val="24"/>
              </w:rPr>
            </w:pPr>
            <w:r>
              <w:rPr>
                <w:sz w:val="24"/>
              </w:rPr>
              <w:t>No</w:t>
            </w:r>
          </w:p>
        </w:tc>
        <w:tc>
          <w:tcPr>
            <w:tcW w:w="1551" w:type="dxa"/>
            <w:vMerge w:val="restart"/>
          </w:tcPr>
          <w:p>
            <w:pPr>
              <w:pStyle w:val="TableParagraph"/>
              <w:spacing w:line="242" w:lineRule="auto" w:before="49"/>
              <w:ind w:left="225" w:right="203" w:firstLine="288"/>
              <w:jc w:val="left"/>
              <w:rPr>
                <w:sz w:val="24"/>
              </w:rPr>
            </w:pPr>
            <w:r>
              <w:rPr>
                <w:sz w:val="24"/>
              </w:rPr>
              <w:t>Kode Perusahaan</w:t>
            </w:r>
          </w:p>
        </w:tc>
        <w:tc>
          <w:tcPr>
            <w:tcW w:w="9735" w:type="dxa"/>
            <w:gridSpan w:val="7"/>
          </w:tcPr>
          <w:p>
            <w:pPr>
              <w:pStyle w:val="TableParagraph"/>
              <w:spacing w:before="44"/>
              <w:ind w:left="3580" w:right="3578"/>
              <w:jc w:val="center"/>
              <w:rPr>
                <w:sz w:val="24"/>
              </w:rPr>
            </w:pPr>
            <w:r>
              <w:rPr>
                <w:sz w:val="24"/>
              </w:rPr>
              <w:t>Laba Bersih Setelah Pajak</w:t>
            </w:r>
          </w:p>
        </w:tc>
      </w:tr>
      <w:tr>
        <w:trPr>
          <w:trHeight w:val="326" w:hRule="atLeast"/>
        </w:trPr>
        <w:tc>
          <w:tcPr>
            <w:tcW w:w="600" w:type="dxa"/>
            <w:vMerge/>
            <w:tcBorders>
              <w:top w:val="nil"/>
            </w:tcBorders>
          </w:tcPr>
          <w:p>
            <w:pPr>
              <w:rPr>
                <w:sz w:val="2"/>
                <w:szCs w:val="2"/>
              </w:rPr>
            </w:pPr>
          </w:p>
        </w:tc>
        <w:tc>
          <w:tcPr>
            <w:tcW w:w="1551" w:type="dxa"/>
            <w:vMerge/>
            <w:tcBorders>
              <w:top w:val="nil"/>
            </w:tcBorders>
          </w:tcPr>
          <w:p>
            <w:pPr>
              <w:rPr>
                <w:sz w:val="2"/>
                <w:szCs w:val="2"/>
              </w:rPr>
            </w:pPr>
          </w:p>
        </w:tc>
        <w:tc>
          <w:tcPr>
            <w:tcW w:w="1388" w:type="dxa"/>
          </w:tcPr>
          <w:p>
            <w:pPr>
              <w:pStyle w:val="TableParagraph"/>
              <w:spacing w:before="40"/>
              <w:ind w:right="89"/>
              <w:rPr>
                <w:sz w:val="24"/>
              </w:rPr>
            </w:pPr>
            <w:r>
              <w:rPr>
                <w:sz w:val="24"/>
              </w:rPr>
              <w:t>2012</w:t>
            </w:r>
          </w:p>
        </w:tc>
        <w:tc>
          <w:tcPr>
            <w:tcW w:w="1393" w:type="dxa"/>
          </w:tcPr>
          <w:p>
            <w:pPr>
              <w:pStyle w:val="TableParagraph"/>
              <w:spacing w:before="40"/>
              <w:ind w:right="94"/>
              <w:rPr>
                <w:sz w:val="24"/>
              </w:rPr>
            </w:pPr>
            <w:r>
              <w:rPr>
                <w:sz w:val="24"/>
              </w:rPr>
              <w:t>2013</w:t>
            </w:r>
          </w:p>
        </w:tc>
        <w:tc>
          <w:tcPr>
            <w:tcW w:w="1393" w:type="dxa"/>
          </w:tcPr>
          <w:p>
            <w:pPr>
              <w:pStyle w:val="TableParagraph"/>
              <w:spacing w:before="40"/>
              <w:ind w:right="95"/>
              <w:rPr>
                <w:sz w:val="24"/>
              </w:rPr>
            </w:pPr>
            <w:r>
              <w:rPr>
                <w:sz w:val="24"/>
              </w:rPr>
              <w:t>2014</w:t>
            </w:r>
          </w:p>
        </w:tc>
        <w:tc>
          <w:tcPr>
            <w:tcW w:w="1388" w:type="dxa"/>
          </w:tcPr>
          <w:p>
            <w:pPr>
              <w:pStyle w:val="TableParagraph"/>
              <w:spacing w:before="40"/>
              <w:ind w:right="96"/>
              <w:rPr>
                <w:sz w:val="24"/>
              </w:rPr>
            </w:pPr>
            <w:r>
              <w:rPr>
                <w:sz w:val="24"/>
              </w:rPr>
              <w:t>2015</w:t>
            </w:r>
          </w:p>
        </w:tc>
        <w:tc>
          <w:tcPr>
            <w:tcW w:w="1392" w:type="dxa"/>
          </w:tcPr>
          <w:p>
            <w:pPr>
              <w:pStyle w:val="TableParagraph"/>
              <w:spacing w:before="40"/>
              <w:ind w:right="95"/>
              <w:rPr>
                <w:sz w:val="24"/>
              </w:rPr>
            </w:pPr>
            <w:r>
              <w:rPr>
                <w:sz w:val="24"/>
              </w:rPr>
              <w:t>2016</w:t>
            </w:r>
          </w:p>
        </w:tc>
        <w:tc>
          <w:tcPr>
            <w:tcW w:w="1388" w:type="dxa"/>
          </w:tcPr>
          <w:p>
            <w:pPr>
              <w:pStyle w:val="TableParagraph"/>
              <w:spacing w:before="40"/>
              <w:ind w:right="91"/>
              <w:rPr>
                <w:sz w:val="24"/>
              </w:rPr>
            </w:pPr>
            <w:r>
              <w:rPr>
                <w:sz w:val="24"/>
              </w:rPr>
              <w:t>2017</w:t>
            </w:r>
          </w:p>
        </w:tc>
        <w:tc>
          <w:tcPr>
            <w:tcW w:w="1393" w:type="dxa"/>
          </w:tcPr>
          <w:p>
            <w:pPr>
              <w:pStyle w:val="TableParagraph"/>
              <w:spacing w:before="40"/>
              <w:ind w:right="96"/>
              <w:rPr>
                <w:sz w:val="24"/>
              </w:rPr>
            </w:pPr>
            <w:r>
              <w:rPr>
                <w:sz w:val="24"/>
              </w:rPr>
              <w:t>2018</w:t>
            </w:r>
          </w:p>
        </w:tc>
      </w:tr>
      <w:tr>
        <w:trPr>
          <w:trHeight w:val="326" w:hRule="atLeast"/>
        </w:trPr>
        <w:tc>
          <w:tcPr>
            <w:tcW w:w="600" w:type="dxa"/>
          </w:tcPr>
          <w:p>
            <w:pPr>
              <w:pStyle w:val="TableParagraph"/>
              <w:spacing w:before="39"/>
              <w:ind w:left="9"/>
              <w:jc w:val="center"/>
              <w:rPr>
                <w:sz w:val="24"/>
              </w:rPr>
            </w:pPr>
            <w:r>
              <w:rPr>
                <w:sz w:val="24"/>
              </w:rPr>
              <w:t>1</w:t>
            </w:r>
          </w:p>
        </w:tc>
        <w:tc>
          <w:tcPr>
            <w:tcW w:w="1551" w:type="dxa"/>
          </w:tcPr>
          <w:p>
            <w:pPr>
              <w:pStyle w:val="TableParagraph"/>
              <w:spacing w:before="39"/>
              <w:ind w:left="110"/>
              <w:jc w:val="left"/>
              <w:rPr>
                <w:sz w:val="24"/>
              </w:rPr>
            </w:pPr>
            <w:r>
              <w:rPr>
                <w:sz w:val="24"/>
              </w:rPr>
              <w:t>INTP</w:t>
            </w:r>
          </w:p>
        </w:tc>
        <w:tc>
          <w:tcPr>
            <w:tcW w:w="1388" w:type="dxa"/>
          </w:tcPr>
          <w:p>
            <w:pPr>
              <w:pStyle w:val="TableParagraph"/>
              <w:spacing w:before="39"/>
              <w:ind w:right="85"/>
              <w:rPr>
                <w:sz w:val="24"/>
              </w:rPr>
            </w:pPr>
            <w:r>
              <w:rPr>
                <w:sz w:val="24"/>
              </w:rPr>
              <w:t>4,763,388</w:t>
            </w:r>
          </w:p>
        </w:tc>
        <w:tc>
          <w:tcPr>
            <w:tcW w:w="1393" w:type="dxa"/>
          </w:tcPr>
          <w:p>
            <w:pPr>
              <w:pStyle w:val="TableParagraph"/>
              <w:spacing w:before="39"/>
              <w:ind w:right="90"/>
              <w:rPr>
                <w:sz w:val="24"/>
              </w:rPr>
            </w:pPr>
            <w:r>
              <w:rPr>
                <w:sz w:val="24"/>
              </w:rPr>
              <w:t>5,012,294</w:t>
            </w:r>
          </w:p>
        </w:tc>
        <w:tc>
          <w:tcPr>
            <w:tcW w:w="1393" w:type="dxa"/>
          </w:tcPr>
          <w:p>
            <w:pPr>
              <w:pStyle w:val="TableParagraph"/>
              <w:spacing w:before="39"/>
              <w:ind w:right="91"/>
              <w:rPr>
                <w:sz w:val="24"/>
              </w:rPr>
            </w:pPr>
            <w:r>
              <w:rPr>
                <w:sz w:val="24"/>
              </w:rPr>
              <w:t>5,274,009</w:t>
            </w:r>
          </w:p>
        </w:tc>
        <w:tc>
          <w:tcPr>
            <w:tcW w:w="1388" w:type="dxa"/>
          </w:tcPr>
          <w:p>
            <w:pPr>
              <w:pStyle w:val="TableParagraph"/>
              <w:spacing w:before="39"/>
              <w:ind w:right="91"/>
              <w:rPr>
                <w:sz w:val="24"/>
              </w:rPr>
            </w:pPr>
            <w:r>
              <w:rPr>
                <w:sz w:val="24"/>
              </w:rPr>
              <w:t>4,356,661</w:t>
            </w:r>
          </w:p>
        </w:tc>
        <w:tc>
          <w:tcPr>
            <w:tcW w:w="1392" w:type="dxa"/>
          </w:tcPr>
          <w:p>
            <w:pPr>
              <w:pStyle w:val="TableParagraph"/>
              <w:spacing w:before="39"/>
              <w:ind w:right="91"/>
              <w:rPr>
                <w:sz w:val="24"/>
              </w:rPr>
            </w:pPr>
            <w:r>
              <w:rPr>
                <w:sz w:val="24"/>
              </w:rPr>
              <w:t>3,870,319</w:t>
            </w:r>
          </w:p>
        </w:tc>
        <w:tc>
          <w:tcPr>
            <w:tcW w:w="1388" w:type="dxa"/>
          </w:tcPr>
          <w:p>
            <w:pPr>
              <w:pStyle w:val="TableParagraph"/>
              <w:spacing w:before="39"/>
              <w:ind w:right="86"/>
              <w:rPr>
                <w:sz w:val="24"/>
              </w:rPr>
            </w:pPr>
            <w:r>
              <w:rPr>
                <w:sz w:val="24"/>
              </w:rPr>
              <w:t>1,859,818</w:t>
            </w:r>
          </w:p>
        </w:tc>
        <w:tc>
          <w:tcPr>
            <w:tcW w:w="1393" w:type="dxa"/>
          </w:tcPr>
          <w:p>
            <w:pPr>
              <w:pStyle w:val="TableParagraph"/>
              <w:spacing w:before="39"/>
              <w:ind w:right="92"/>
              <w:rPr>
                <w:sz w:val="24"/>
              </w:rPr>
            </w:pPr>
            <w:r>
              <w:rPr>
                <w:sz w:val="24"/>
              </w:rPr>
              <w:t>1,145,937</w:t>
            </w:r>
          </w:p>
        </w:tc>
      </w:tr>
      <w:tr>
        <w:trPr>
          <w:trHeight w:val="326" w:hRule="atLeast"/>
        </w:trPr>
        <w:tc>
          <w:tcPr>
            <w:tcW w:w="600" w:type="dxa"/>
          </w:tcPr>
          <w:p>
            <w:pPr>
              <w:pStyle w:val="TableParagraph"/>
              <w:spacing w:line="261" w:lineRule="exact" w:before="44"/>
              <w:ind w:left="9"/>
              <w:jc w:val="center"/>
              <w:rPr>
                <w:sz w:val="24"/>
              </w:rPr>
            </w:pPr>
            <w:r>
              <w:rPr>
                <w:sz w:val="24"/>
              </w:rPr>
              <w:t>2</w:t>
            </w:r>
          </w:p>
        </w:tc>
        <w:tc>
          <w:tcPr>
            <w:tcW w:w="1551" w:type="dxa"/>
          </w:tcPr>
          <w:p>
            <w:pPr>
              <w:pStyle w:val="TableParagraph"/>
              <w:spacing w:line="261" w:lineRule="exact" w:before="44"/>
              <w:ind w:left="110"/>
              <w:jc w:val="left"/>
              <w:rPr>
                <w:sz w:val="24"/>
              </w:rPr>
            </w:pPr>
            <w:r>
              <w:rPr>
                <w:sz w:val="24"/>
              </w:rPr>
              <w:t>SMBR</w:t>
            </w:r>
          </w:p>
        </w:tc>
        <w:tc>
          <w:tcPr>
            <w:tcW w:w="1388" w:type="dxa"/>
          </w:tcPr>
          <w:p>
            <w:pPr>
              <w:pStyle w:val="TableParagraph"/>
              <w:spacing w:line="261" w:lineRule="exact" w:before="44"/>
              <w:ind w:right="84"/>
              <w:rPr>
                <w:sz w:val="24"/>
              </w:rPr>
            </w:pPr>
            <w:r>
              <w:rPr>
                <w:sz w:val="24"/>
              </w:rPr>
              <w:t>298,512</w:t>
            </w:r>
          </w:p>
        </w:tc>
        <w:tc>
          <w:tcPr>
            <w:tcW w:w="1393" w:type="dxa"/>
          </w:tcPr>
          <w:p>
            <w:pPr>
              <w:pStyle w:val="TableParagraph"/>
              <w:spacing w:line="261" w:lineRule="exact" w:before="44"/>
              <w:ind w:right="90"/>
              <w:rPr>
                <w:sz w:val="24"/>
              </w:rPr>
            </w:pPr>
            <w:r>
              <w:rPr>
                <w:sz w:val="24"/>
              </w:rPr>
              <w:t>312,183</w:t>
            </w:r>
          </w:p>
        </w:tc>
        <w:tc>
          <w:tcPr>
            <w:tcW w:w="1393" w:type="dxa"/>
          </w:tcPr>
          <w:p>
            <w:pPr>
              <w:pStyle w:val="TableParagraph"/>
              <w:spacing w:line="261" w:lineRule="exact" w:before="44"/>
              <w:ind w:right="91"/>
              <w:rPr>
                <w:sz w:val="24"/>
              </w:rPr>
            </w:pPr>
            <w:r>
              <w:rPr>
                <w:sz w:val="24"/>
              </w:rPr>
              <w:t>328,336</w:t>
            </w:r>
          </w:p>
        </w:tc>
        <w:tc>
          <w:tcPr>
            <w:tcW w:w="1388" w:type="dxa"/>
          </w:tcPr>
          <w:p>
            <w:pPr>
              <w:pStyle w:val="TableParagraph"/>
              <w:spacing w:line="261" w:lineRule="exact" w:before="44"/>
              <w:ind w:right="91"/>
              <w:rPr>
                <w:sz w:val="24"/>
              </w:rPr>
            </w:pPr>
            <w:r>
              <w:rPr>
                <w:sz w:val="24"/>
              </w:rPr>
              <w:t>354,180</w:t>
            </w:r>
          </w:p>
        </w:tc>
        <w:tc>
          <w:tcPr>
            <w:tcW w:w="1392" w:type="dxa"/>
          </w:tcPr>
          <w:p>
            <w:pPr>
              <w:pStyle w:val="TableParagraph"/>
              <w:spacing w:line="261" w:lineRule="exact" w:before="44"/>
              <w:ind w:right="91"/>
              <w:rPr>
                <w:sz w:val="24"/>
              </w:rPr>
            </w:pPr>
            <w:r>
              <w:rPr>
                <w:sz w:val="24"/>
              </w:rPr>
              <w:t>259,090</w:t>
            </w:r>
          </w:p>
        </w:tc>
        <w:tc>
          <w:tcPr>
            <w:tcW w:w="1388" w:type="dxa"/>
          </w:tcPr>
          <w:p>
            <w:pPr>
              <w:pStyle w:val="TableParagraph"/>
              <w:spacing w:line="261" w:lineRule="exact" w:before="44"/>
              <w:ind w:right="86"/>
              <w:rPr>
                <w:sz w:val="24"/>
              </w:rPr>
            </w:pPr>
            <w:r>
              <w:rPr>
                <w:sz w:val="24"/>
              </w:rPr>
              <w:t>146,648</w:t>
            </w:r>
          </w:p>
        </w:tc>
        <w:tc>
          <w:tcPr>
            <w:tcW w:w="1393" w:type="dxa"/>
          </w:tcPr>
          <w:p>
            <w:pPr>
              <w:pStyle w:val="TableParagraph"/>
              <w:spacing w:line="261" w:lineRule="exact" w:before="44"/>
              <w:ind w:right="91"/>
              <w:rPr>
                <w:sz w:val="24"/>
              </w:rPr>
            </w:pPr>
            <w:r>
              <w:rPr>
                <w:sz w:val="24"/>
              </w:rPr>
              <w:t>76,074</w:t>
            </w:r>
          </w:p>
        </w:tc>
      </w:tr>
      <w:tr>
        <w:trPr>
          <w:trHeight w:val="326" w:hRule="atLeast"/>
        </w:trPr>
        <w:tc>
          <w:tcPr>
            <w:tcW w:w="600" w:type="dxa"/>
          </w:tcPr>
          <w:p>
            <w:pPr>
              <w:pStyle w:val="TableParagraph"/>
              <w:spacing w:line="262" w:lineRule="exact" w:before="44"/>
              <w:ind w:left="9"/>
              <w:jc w:val="center"/>
              <w:rPr>
                <w:sz w:val="24"/>
              </w:rPr>
            </w:pPr>
            <w:r>
              <w:rPr>
                <w:sz w:val="24"/>
              </w:rPr>
              <w:t>3</w:t>
            </w:r>
          </w:p>
        </w:tc>
        <w:tc>
          <w:tcPr>
            <w:tcW w:w="1551" w:type="dxa"/>
          </w:tcPr>
          <w:p>
            <w:pPr>
              <w:pStyle w:val="TableParagraph"/>
              <w:spacing w:line="262" w:lineRule="exact" w:before="44"/>
              <w:ind w:left="110"/>
              <w:jc w:val="left"/>
              <w:rPr>
                <w:sz w:val="24"/>
              </w:rPr>
            </w:pPr>
            <w:r>
              <w:rPr>
                <w:sz w:val="24"/>
              </w:rPr>
              <w:t>SMCB</w:t>
            </w:r>
          </w:p>
        </w:tc>
        <w:tc>
          <w:tcPr>
            <w:tcW w:w="1388" w:type="dxa"/>
          </w:tcPr>
          <w:p>
            <w:pPr>
              <w:pStyle w:val="TableParagraph"/>
              <w:spacing w:line="262" w:lineRule="exact" w:before="44"/>
              <w:ind w:right="85"/>
              <w:rPr>
                <w:sz w:val="24"/>
              </w:rPr>
            </w:pPr>
            <w:r>
              <w:rPr>
                <w:sz w:val="24"/>
              </w:rPr>
              <w:t>1,350,791</w:t>
            </w:r>
          </w:p>
        </w:tc>
        <w:tc>
          <w:tcPr>
            <w:tcW w:w="1393" w:type="dxa"/>
          </w:tcPr>
          <w:p>
            <w:pPr>
              <w:pStyle w:val="TableParagraph"/>
              <w:spacing w:line="262" w:lineRule="exact" w:before="44"/>
              <w:ind w:right="90"/>
              <w:rPr>
                <w:sz w:val="24"/>
              </w:rPr>
            </w:pPr>
            <w:r>
              <w:rPr>
                <w:sz w:val="24"/>
              </w:rPr>
              <w:t>952,305</w:t>
            </w:r>
          </w:p>
        </w:tc>
        <w:tc>
          <w:tcPr>
            <w:tcW w:w="1393" w:type="dxa"/>
          </w:tcPr>
          <w:p>
            <w:pPr>
              <w:pStyle w:val="TableParagraph"/>
              <w:spacing w:line="262" w:lineRule="exact" w:before="44"/>
              <w:ind w:right="91"/>
              <w:rPr>
                <w:sz w:val="24"/>
              </w:rPr>
            </w:pPr>
            <w:r>
              <w:rPr>
                <w:sz w:val="24"/>
              </w:rPr>
              <w:t>668,869</w:t>
            </w:r>
          </w:p>
        </w:tc>
        <w:tc>
          <w:tcPr>
            <w:tcW w:w="1388" w:type="dxa"/>
          </w:tcPr>
          <w:p>
            <w:pPr>
              <w:pStyle w:val="TableParagraph"/>
              <w:spacing w:line="262" w:lineRule="exact" w:before="44"/>
              <w:ind w:right="91"/>
              <w:rPr>
                <w:sz w:val="24"/>
              </w:rPr>
            </w:pPr>
            <w:r>
              <w:rPr>
                <w:sz w:val="24"/>
              </w:rPr>
              <w:t>175,127</w:t>
            </w:r>
          </w:p>
        </w:tc>
        <w:tc>
          <w:tcPr>
            <w:tcW w:w="1392" w:type="dxa"/>
          </w:tcPr>
          <w:p>
            <w:pPr>
              <w:pStyle w:val="TableParagraph"/>
              <w:spacing w:line="262" w:lineRule="exact" w:before="44"/>
              <w:ind w:right="91"/>
              <w:rPr>
                <w:sz w:val="24"/>
              </w:rPr>
            </w:pPr>
            <w:r>
              <w:rPr>
                <w:sz w:val="24"/>
              </w:rPr>
              <w:t>-284,584</w:t>
            </w:r>
          </w:p>
        </w:tc>
        <w:tc>
          <w:tcPr>
            <w:tcW w:w="1388" w:type="dxa"/>
          </w:tcPr>
          <w:p>
            <w:pPr>
              <w:pStyle w:val="TableParagraph"/>
              <w:spacing w:line="262" w:lineRule="exact" w:before="44"/>
              <w:ind w:right="86"/>
              <w:rPr>
                <w:sz w:val="24"/>
              </w:rPr>
            </w:pPr>
            <w:r>
              <w:rPr>
                <w:sz w:val="24"/>
              </w:rPr>
              <w:t>-758,045</w:t>
            </w:r>
          </w:p>
        </w:tc>
        <w:tc>
          <w:tcPr>
            <w:tcW w:w="1393" w:type="dxa"/>
          </w:tcPr>
          <w:p>
            <w:pPr>
              <w:pStyle w:val="TableParagraph"/>
              <w:spacing w:line="262" w:lineRule="exact" w:before="44"/>
              <w:ind w:right="91"/>
              <w:rPr>
                <w:sz w:val="24"/>
              </w:rPr>
            </w:pPr>
            <w:r>
              <w:rPr>
                <w:sz w:val="24"/>
              </w:rPr>
              <w:t>-827,985</w:t>
            </w:r>
          </w:p>
        </w:tc>
      </w:tr>
      <w:tr>
        <w:trPr>
          <w:trHeight w:val="330" w:hRule="atLeast"/>
        </w:trPr>
        <w:tc>
          <w:tcPr>
            <w:tcW w:w="600" w:type="dxa"/>
          </w:tcPr>
          <w:p>
            <w:pPr>
              <w:pStyle w:val="TableParagraph"/>
              <w:spacing w:before="44"/>
              <w:ind w:left="9"/>
              <w:jc w:val="center"/>
              <w:rPr>
                <w:sz w:val="24"/>
              </w:rPr>
            </w:pPr>
            <w:r>
              <w:rPr>
                <w:sz w:val="24"/>
              </w:rPr>
              <w:t>4</w:t>
            </w:r>
          </w:p>
        </w:tc>
        <w:tc>
          <w:tcPr>
            <w:tcW w:w="1551" w:type="dxa"/>
          </w:tcPr>
          <w:p>
            <w:pPr>
              <w:pStyle w:val="TableParagraph"/>
              <w:spacing w:before="44"/>
              <w:ind w:left="110"/>
              <w:jc w:val="left"/>
              <w:rPr>
                <w:sz w:val="24"/>
              </w:rPr>
            </w:pPr>
            <w:r>
              <w:rPr>
                <w:sz w:val="24"/>
              </w:rPr>
              <w:t>SMGR</w:t>
            </w:r>
          </w:p>
        </w:tc>
        <w:tc>
          <w:tcPr>
            <w:tcW w:w="1388" w:type="dxa"/>
          </w:tcPr>
          <w:p>
            <w:pPr>
              <w:pStyle w:val="TableParagraph"/>
              <w:spacing w:before="44"/>
              <w:ind w:right="85"/>
              <w:rPr>
                <w:sz w:val="24"/>
              </w:rPr>
            </w:pPr>
            <w:r>
              <w:rPr>
                <w:sz w:val="24"/>
              </w:rPr>
              <w:t>4,926,639</w:t>
            </w:r>
          </w:p>
        </w:tc>
        <w:tc>
          <w:tcPr>
            <w:tcW w:w="1393" w:type="dxa"/>
          </w:tcPr>
          <w:p>
            <w:pPr>
              <w:pStyle w:val="TableParagraph"/>
              <w:spacing w:before="44"/>
              <w:ind w:right="90"/>
              <w:rPr>
                <w:sz w:val="24"/>
              </w:rPr>
            </w:pPr>
            <w:r>
              <w:rPr>
                <w:sz w:val="24"/>
              </w:rPr>
              <w:t>5,354,298</w:t>
            </w:r>
          </w:p>
        </w:tc>
        <w:tc>
          <w:tcPr>
            <w:tcW w:w="1393" w:type="dxa"/>
          </w:tcPr>
          <w:p>
            <w:pPr>
              <w:pStyle w:val="TableParagraph"/>
              <w:spacing w:before="44"/>
              <w:ind w:right="91"/>
              <w:rPr>
                <w:sz w:val="24"/>
              </w:rPr>
            </w:pPr>
            <w:r>
              <w:rPr>
                <w:sz w:val="24"/>
              </w:rPr>
              <w:t>5,573,577</w:t>
            </w:r>
          </w:p>
        </w:tc>
        <w:tc>
          <w:tcPr>
            <w:tcW w:w="1388" w:type="dxa"/>
          </w:tcPr>
          <w:p>
            <w:pPr>
              <w:pStyle w:val="TableParagraph"/>
              <w:spacing w:before="44"/>
              <w:ind w:right="91"/>
              <w:rPr>
                <w:sz w:val="24"/>
              </w:rPr>
            </w:pPr>
            <w:r>
              <w:rPr>
                <w:sz w:val="24"/>
              </w:rPr>
              <w:t>4,525,441</w:t>
            </w:r>
          </w:p>
        </w:tc>
        <w:tc>
          <w:tcPr>
            <w:tcW w:w="1392" w:type="dxa"/>
          </w:tcPr>
          <w:p>
            <w:pPr>
              <w:pStyle w:val="TableParagraph"/>
              <w:spacing w:before="44"/>
              <w:ind w:right="91"/>
              <w:rPr>
                <w:sz w:val="24"/>
              </w:rPr>
            </w:pPr>
            <w:r>
              <w:rPr>
                <w:sz w:val="24"/>
              </w:rPr>
              <w:t>4,535,036</w:t>
            </w:r>
          </w:p>
        </w:tc>
        <w:tc>
          <w:tcPr>
            <w:tcW w:w="1388" w:type="dxa"/>
          </w:tcPr>
          <w:p>
            <w:pPr>
              <w:pStyle w:val="TableParagraph"/>
              <w:spacing w:before="44"/>
              <w:ind w:right="86"/>
              <w:rPr>
                <w:sz w:val="24"/>
              </w:rPr>
            </w:pPr>
            <w:r>
              <w:rPr>
                <w:sz w:val="24"/>
              </w:rPr>
              <w:t>1,650,006</w:t>
            </w:r>
          </w:p>
        </w:tc>
        <w:tc>
          <w:tcPr>
            <w:tcW w:w="1393" w:type="dxa"/>
          </w:tcPr>
          <w:p>
            <w:pPr>
              <w:pStyle w:val="TableParagraph"/>
              <w:spacing w:before="44"/>
              <w:ind w:right="92"/>
              <w:rPr>
                <w:sz w:val="24"/>
              </w:rPr>
            </w:pPr>
            <w:r>
              <w:rPr>
                <w:sz w:val="24"/>
              </w:rPr>
              <w:t>3,085,704</w:t>
            </w:r>
          </w:p>
        </w:tc>
      </w:tr>
      <w:tr>
        <w:trPr>
          <w:trHeight w:val="326" w:hRule="atLeast"/>
        </w:trPr>
        <w:tc>
          <w:tcPr>
            <w:tcW w:w="600" w:type="dxa"/>
          </w:tcPr>
          <w:p>
            <w:pPr>
              <w:pStyle w:val="TableParagraph"/>
              <w:spacing w:before="39"/>
              <w:ind w:left="9"/>
              <w:jc w:val="center"/>
              <w:rPr>
                <w:sz w:val="24"/>
              </w:rPr>
            </w:pPr>
            <w:r>
              <w:rPr>
                <w:sz w:val="24"/>
              </w:rPr>
              <w:t>5</w:t>
            </w:r>
          </w:p>
        </w:tc>
        <w:tc>
          <w:tcPr>
            <w:tcW w:w="1551" w:type="dxa"/>
          </w:tcPr>
          <w:p>
            <w:pPr>
              <w:pStyle w:val="TableParagraph"/>
              <w:spacing w:before="39"/>
              <w:ind w:left="110"/>
              <w:jc w:val="left"/>
              <w:rPr>
                <w:sz w:val="24"/>
              </w:rPr>
            </w:pPr>
            <w:r>
              <w:rPr>
                <w:sz w:val="24"/>
              </w:rPr>
              <w:t>WTON</w:t>
            </w:r>
          </w:p>
        </w:tc>
        <w:tc>
          <w:tcPr>
            <w:tcW w:w="1388" w:type="dxa"/>
          </w:tcPr>
          <w:p>
            <w:pPr>
              <w:pStyle w:val="TableParagraph"/>
              <w:spacing w:before="39"/>
              <w:ind w:right="84"/>
              <w:rPr>
                <w:sz w:val="24"/>
              </w:rPr>
            </w:pPr>
            <w:r>
              <w:rPr>
                <w:sz w:val="24"/>
              </w:rPr>
              <w:t>254,031</w:t>
            </w:r>
          </w:p>
        </w:tc>
        <w:tc>
          <w:tcPr>
            <w:tcW w:w="1393" w:type="dxa"/>
          </w:tcPr>
          <w:p>
            <w:pPr>
              <w:pStyle w:val="TableParagraph"/>
              <w:spacing w:before="39"/>
              <w:ind w:right="90"/>
              <w:rPr>
                <w:sz w:val="24"/>
              </w:rPr>
            </w:pPr>
            <w:r>
              <w:rPr>
                <w:sz w:val="24"/>
              </w:rPr>
              <w:t>367,970</w:t>
            </w:r>
          </w:p>
        </w:tc>
        <w:tc>
          <w:tcPr>
            <w:tcW w:w="1393" w:type="dxa"/>
          </w:tcPr>
          <w:p>
            <w:pPr>
              <w:pStyle w:val="TableParagraph"/>
              <w:spacing w:before="39"/>
              <w:ind w:right="91"/>
              <w:rPr>
                <w:sz w:val="24"/>
              </w:rPr>
            </w:pPr>
            <w:r>
              <w:rPr>
                <w:sz w:val="24"/>
              </w:rPr>
              <w:t>323,707</w:t>
            </w:r>
          </w:p>
        </w:tc>
        <w:tc>
          <w:tcPr>
            <w:tcW w:w="1388" w:type="dxa"/>
          </w:tcPr>
          <w:p>
            <w:pPr>
              <w:pStyle w:val="TableParagraph"/>
              <w:spacing w:before="39"/>
              <w:ind w:right="91"/>
              <w:rPr>
                <w:sz w:val="24"/>
              </w:rPr>
            </w:pPr>
            <w:r>
              <w:rPr>
                <w:sz w:val="24"/>
              </w:rPr>
              <w:t>171,784</w:t>
            </w:r>
          </w:p>
        </w:tc>
        <w:tc>
          <w:tcPr>
            <w:tcW w:w="1392" w:type="dxa"/>
          </w:tcPr>
          <w:p>
            <w:pPr>
              <w:pStyle w:val="TableParagraph"/>
              <w:spacing w:before="39"/>
              <w:ind w:right="91"/>
              <w:rPr>
                <w:sz w:val="24"/>
              </w:rPr>
            </w:pPr>
            <w:r>
              <w:rPr>
                <w:sz w:val="24"/>
              </w:rPr>
              <w:t>281,567</w:t>
            </w:r>
          </w:p>
        </w:tc>
        <w:tc>
          <w:tcPr>
            <w:tcW w:w="1388" w:type="dxa"/>
          </w:tcPr>
          <w:p>
            <w:pPr>
              <w:pStyle w:val="TableParagraph"/>
              <w:spacing w:before="39"/>
              <w:ind w:right="86"/>
              <w:rPr>
                <w:sz w:val="24"/>
              </w:rPr>
            </w:pPr>
            <w:r>
              <w:rPr>
                <w:sz w:val="24"/>
              </w:rPr>
              <w:t>340,458</w:t>
            </w:r>
          </w:p>
        </w:tc>
        <w:tc>
          <w:tcPr>
            <w:tcW w:w="1393" w:type="dxa"/>
          </w:tcPr>
          <w:p>
            <w:pPr>
              <w:pStyle w:val="TableParagraph"/>
              <w:spacing w:before="39"/>
              <w:ind w:right="91"/>
              <w:rPr>
                <w:sz w:val="24"/>
              </w:rPr>
            </w:pPr>
            <w:r>
              <w:rPr>
                <w:sz w:val="24"/>
              </w:rPr>
              <w:t>486,640</w:t>
            </w:r>
          </w:p>
        </w:tc>
      </w:tr>
    </w:tbl>
    <w:p>
      <w:pPr>
        <w:pStyle w:val="BodyText"/>
        <w:rPr>
          <w:sz w:val="20"/>
        </w:rPr>
      </w:pPr>
    </w:p>
    <w:p>
      <w:pPr>
        <w:pStyle w:val="BodyText"/>
        <w:spacing w:before="11"/>
        <w:rPr>
          <w:sz w:val="17"/>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445"/>
        <w:gridCol w:w="1435"/>
        <w:gridCol w:w="1430"/>
        <w:gridCol w:w="1435"/>
        <w:gridCol w:w="1430"/>
        <w:gridCol w:w="1434"/>
        <w:gridCol w:w="1430"/>
        <w:gridCol w:w="1435"/>
      </w:tblGrid>
      <w:tr>
        <w:trPr>
          <w:trHeight w:val="398" w:hRule="atLeast"/>
        </w:trPr>
        <w:tc>
          <w:tcPr>
            <w:tcW w:w="566" w:type="dxa"/>
            <w:vMerge w:val="restart"/>
          </w:tcPr>
          <w:p>
            <w:pPr>
              <w:pStyle w:val="TableParagraph"/>
              <w:spacing w:line="240" w:lineRule="auto" w:before="3"/>
              <w:jc w:val="left"/>
              <w:rPr>
                <w:sz w:val="22"/>
              </w:rPr>
            </w:pPr>
          </w:p>
          <w:p>
            <w:pPr>
              <w:pStyle w:val="TableParagraph"/>
              <w:spacing w:line="240" w:lineRule="auto"/>
              <w:ind w:left="134"/>
              <w:jc w:val="left"/>
              <w:rPr>
                <w:sz w:val="24"/>
              </w:rPr>
            </w:pPr>
            <w:r>
              <w:rPr>
                <w:sz w:val="24"/>
              </w:rPr>
              <w:t>No</w:t>
            </w:r>
          </w:p>
        </w:tc>
        <w:tc>
          <w:tcPr>
            <w:tcW w:w="1445" w:type="dxa"/>
            <w:vMerge w:val="restart"/>
          </w:tcPr>
          <w:p>
            <w:pPr>
              <w:pStyle w:val="TableParagraph"/>
              <w:spacing w:line="242" w:lineRule="auto" w:before="117"/>
              <w:ind w:left="172" w:right="150" w:firstLine="288"/>
              <w:jc w:val="left"/>
              <w:rPr>
                <w:sz w:val="24"/>
              </w:rPr>
            </w:pPr>
            <w:r>
              <w:rPr>
                <w:sz w:val="24"/>
              </w:rPr>
              <w:t>Kode Perusahaan</w:t>
            </w:r>
          </w:p>
        </w:tc>
        <w:tc>
          <w:tcPr>
            <w:tcW w:w="10029" w:type="dxa"/>
            <w:gridSpan w:val="7"/>
          </w:tcPr>
          <w:p>
            <w:pPr>
              <w:pStyle w:val="TableParagraph"/>
              <w:spacing w:before="112"/>
              <w:ind w:left="4491" w:right="4481"/>
              <w:jc w:val="center"/>
              <w:rPr>
                <w:sz w:val="24"/>
              </w:rPr>
            </w:pPr>
            <w:r>
              <w:rPr>
                <w:sz w:val="24"/>
              </w:rPr>
              <w:t>Total Aset</w:t>
            </w:r>
          </w:p>
        </w:tc>
      </w:tr>
      <w:tr>
        <w:trPr>
          <w:trHeight w:val="397" w:hRule="atLeast"/>
        </w:trPr>
        <w:tc>
          <w:tcPr>
            <w:tcW w:w="566" w:type="dxa"/>
            <w:vMerge/>
            <w:tcBorders>
              <w:top w:val="nil"/>
            </w:tcBorders>
          </w:tcPr>
          <w:p>
            <w:pPr>
              <w:rPr>
                <w:sz w:val="2"/>
                <w:szCs w:val="2"/>
              </w:rPr>
            </w:pPr>
          </w:p>
        </w:tc>
        <w:tc>
          <w:tcPr>
            <w:tcW w:w="1445" w:type="dxa"/>
            <w:vMerge/>
            <w:tcBorders>
              <w:top w:val="nil"/>
            </w:tcBorders>
          </w:tcPr>
          <w:p>
            <w:pPr>
              <w:rPr>
                <w:sz w:val="2"/>
                <w:szCs w:val="2"/>
              </w:rPr>
            </w:pPr>
          </w:p>
        </w:tc>
        <w:tc>
          <w:tcPr>
            <w:tcW w:w="1435" w:type="dxa"/>
          </w:tcPr>
          <w:p>
            <w:pPr>
              <w:pStyle w:val="TableParagraph"/>
              <w:spacing w:line="261" w:lineRule="exact" w:before="116"/>
              <w:ind w:right="92"/>
              <w:rPr>
                <w:sz w:val="24"/>
              </w:rPr>
            </w:pPr>
            <w:r>
              <w:rPr>
                <w:sz w:val="24"/>
              </w:rPr>
              <w:t>2012</w:t>
            </w:r>
          </w:p>
        </w:tc>
        <w:tc>
          <w:tcPr>
            <w:tcW w:w="1430" w:type="dxa"/>
          </w:tcPr>
          <w:p>
            <w:pPr>
              <w:pStyle w:val="TableParagraph"/>
              <w:spacing w:line="261" w:lineRule="exact" w:before="116"/>
              <w:ind w:right="91"/>
              <w:rPr>
                <w:sz w:val="24"/>
              </w:rPr>
            </w:pPr>
            <w:r>
              <w:rPr>
                <w:sz w:val="24"/>
              </w:rPr>
              <w:t>2013</w:t>
            </w:r>
          </w:p>
        </w:tc>
        <w:tc>
          <w:tcPr>
            <w:tcW w:w="1435" w:type="dxa"/>
          </w:tcPr>
          <w:p>
            <w:pPr>
              <w:pStyle w:val="TableParagraph"/>
              <w:spacing w:line="261" w:lineRule="exact" w:before="116"/>
              <w:ind w:right="91"/>
              <w:rPr>
                <w:sz w:val="24"/>
              </w:rPr>
            </w:pPr>
            <w:r>
              <w:rPr>
                <w:sz w:val="24"/>
              </w:rPr>
              <w:t>2014</w:t>
            </w:r>
          </w:p>
        </w:tc>
        <w:tc>
          <w:tcPr>
            <w:tcW w:w="1430" w:type="dxa"/>
          </w:tcPr>
          <w:p>
            <w:pPr>
              <w:pStyle w:val="TableParagraph"/>
              <w:spacing w:line="261" w:lineRule="exact" w:before="116"/>
              <w:ind w:right="90"/>
              <w:rPr>
                <w:sz w:val="24"/>
              </w:rPr>
            </w:pPr>
            <w:r>
              <w:rPr>
                <w:sz w:val="24"/>
              </w:rPr>
              <w:t>2015</w:t>
            </w:r>
          </w:p>
        </w:tc>
        <w:tc>
          <w:tcPr>
            <w:tcW w:w="1434" w:type="dxa"/>
          </w:tcPr>
          <w:p>
            <w:pPr>
              <w:pStyle w:val="TableParagraph"/>
              <w:spacing w:line="261" w:lineRule="exact" w:before="116"/>
              <w:ind w:right="88"/>
              <w:rPr>
                <w:sz w:val="24"/>
              </w:rPr>
            </w:pPr>
            <w:r>
              <w:rPr>
                <w:sz w:val="24"/>
              </w:rPr>
              <w:t>2016</w:t>
            </w:r>
          </w:p>
        </w:tc>
        <w:tc>
          <w:tcPr>
            <w:tcW w:w="1430" w:type="dxa"/>
          </w:tcPr>
          <w:p>
            <w:pPr>
              <w:pStyle w:val="TableParagraph"/>
              <w:spacing w:line="261" w:lineRule="exact" w:before="116"/>
              <w:ind w:right="83"/>
              <w:rPr>
                <w:sz w:val="24"/>
              </w:rPr>
            </w:pPr>
            <w:r>
              <w:rPr>
                <w:sz w:val="24"/>
              </w:rPr>
              <w:t>2017</w:t>
            </w:r>
          </w:p>
        </w:tc>
        <w:tc>
          <w:tcPr>
            <w:tcW w:w="1435" w:type="dxa"/>
          </w:tcPr>
          <w:p>
            <w:pPr>
              <w:pStyle w:val="TableParagraph"/>
              <w:spacing w:line="261" w:lineRule="exact" w:before="116"/>
              <w:ind w:right="87"/>
              <w:rPr>
                <w:sz w:val="24"/>
              </w:rPr>
            </w:pPr>
            <w:r>
              <w:rPr>
                <w:sz w:val="24"/>
              </w:rPr>
              <w:t>2018</w:t>
            </w:r>
          </w:p>
        </w:tc>
      </w:tr>
      <w:tr>
        <w:trPr>
          <w:trHeight w:val="397" w:hRule="atLeast"/>
        </w:trPr>
        <w:tc>
          <w:tcPr>
            <w:tcW w:w="566" w:type="dxa"/>
          </w:tcPr>
          <w:p>
            <w:pPr>
              <w:pStyle w:val="TableParagraph"/>
              <w:spacing w:line="261" w:lineRule="exact" w:before="116"/>
              <w:ind w:right="98"/>
              <w:rPr>
                <w:sz w:val="24"/>
              </w:rPr>
            </w:pPr>
            <w:r>
              <w:rPr>
                <w:sz w:val="24"/>
              </w:rPr>
              <w:t>1</w:t>
            </w:r>
          </w:p>
        </w:tc>
        <w:tc>
          <w:tcPr>
            <w:tcW w:w="1445" w:type="dxa"/>
          </w:tcPr>
          <w:p>
            <w:pPr>
              <w:pStyle w:val="TableParagraph"/>
              <w:spacing w:line="261" w:lineRule="exact" w:before="116"/>
              <w:ind w:left="105"/>
              <w:jc w:val="left"/>
              <w:rPr>
                <w:sz w:val="24"/>
              </w:rPr>
            </w:pPr>
            <w:r>
              <w:rPr>
                <w:sz w:val="24"/>
              </w:rPr>
              <w:t>INTP</w:t>
            </w:r>
          </w:p>
        </w:tc>
        <w:tc>
          <w:tcPr>
            <w:tcW w:w="1435" w:type="dxa"/>
          </w:tcPr>
          <w:p>
            <w:pPr>
              <w:pStyle w:val="TableParagraph"/>
              <w:spacing w:line="261" w:lineRule="exact" w:before="116"/>
              <w:ind w:right="88"/>
              <w:rPr>
                <w:sz w:val="24"/>
              </w:rPr>
            </w:pPr>
            <w:r>
              <w:rPr>
                <w:sz w:val="24"/>
              </w:rPr>
              <w:t>22,755,160</w:t>
            </w:r>
          </w:p>
        </w:tc>
        <w:tc>
          <w:tcPr>
            <w:tcW w:w="1430" w:type="dxa"/>
          </w:tcPr>
          <w:p>
            <w:pPr>
              <w:pStyle w:val="TableParagraph"/>
              <w:spacing w:line="261" w:lineRule="exact" w:before="116"/>
              <w:ind w:right="87"/>
              <w:rPr>
                <w:sz w:val="24"/>
              </w:rPr>
            </w:pPr>
            <w:r>
              <w:rPr>
                <w:sz w:val="24"/>
              </w:rPr>
              <w:t>26,607,241</w:t>
            </w:r>
          </w:p>
        </w:tc>
        <w:tc>
          <w:tcPr>
            <w:tcW w:w="1435" w:type="dxa"/>
          </w:tcPr>
          <w:p>
            <w:pPr>
              <w:pStyle w:val="TableParagraph"/>
              <w:spacing w:line="261" w:lineRule="exact" w:before="116"/>
              <w:ind w:right="86"/>
              <w:rPr>
                <w:sz w:val="24"/>
              </w:rPr>
            </w:pPr>
            <w:r>
              <w:rPr>
                <w:sz w:val="24"/>
              </w:rPr>
              <w:t>28,884,973</w:t>
            </w:r>
          </w:p>
        </w:tc>
        <w:tc>
          <w:tcPr>
            <w:tcW w:w="1430" w:type="dxa"/>
          </w:tcPr>
          <w:p>
            <w:pPr>
              <w:pStyle w:val="TableParagraph"/>
              <w:spacing w:line="261" w:lineRule="exact" w:before="116"/>
              <w:ind w:right="86"/>
              <w:rPr>
                <w:sz w:val="24"/>
              </w:rPr>
            </w:pPr>
            <w:r>
              <w:rPr>
                <w:sz w:val="24"/>
              </w:rPr>
              <w:t>27,638,360</w:t>
            </w:r>
          </w:p>
        </w:tc>
        <w:tc>
          <w:tcPr>
            <w:tcW w:w="1434" w:type="dxa"/>
          </w:tcPr>
          <w:p>
            <w:pPr>
              <w:pStyle w:val="TableParagraph"/>
              <w:spacing w:line="261" w:lineRule="exact" w:before="116"/>
              <w:ind w:right="84"/>
              <w:rPr>
                <w:sz w:val="24"/>
              </w:rPr>
            </w:pPr>
            <w:r>
              <w:rPr>
                <w:sz w:val="24"/>
              </w:rPr>
              <w:t>30,150,580</w:t>
            </w:r>
          </w:p>
        </w:tc>
        <w:tc>
          <w:tcPr>
            <w:tcW w:w="1430" w:type="dxa"/>
          </w:tcPr>
          <w:p>
            <w:pPr>
              <w:pStyle w:val="TableParagraph"/>
              <w:spacing w:line="261" w:lineRule="exact" w:before="116"/>
              <w:ind w:right="78"/>
              <w:rPr>
                <w:sz w:val="24"/>
              </w:rPr>
            </w:pPr>
            <w:r>
              <w:rPr>
                <w:sz w:val="24"/>
              </w:rPr>
              <w:t>28,863,676</w:t>
            </w:r>
          </w:p>
        </w:tc>
        <w:tc>
          <w:tcPr>
            <w:tcW w:w="1435" w:type="dxa"/>
          </w:tcPr>
          <w:p>
            <w:pPr>
              <w:pStyle w:val="TableParagraph"/>
              <w:spacing w:line="261" w:lineRule="exact" w:before="116"/>
              <w:ind w:right="83"/>
              <w:rPr>
                <w:sz w:val="24"/>
              </w:rPr>
            </w:pPr>
            <w:r>
              <w:rPr>
                <w:sz w:val="24"/>
              </w:rPr>
              <w:t>27,788,562</w:t>
            </w:r>
          </w:p>
        </w:tc>
      </w:tr>
      <w:tr>
        <w:trPr>
          <w:trHeight w:val="403" w:hRule="atLeast"/>
        </w:trPr>
        <w:tc>
          <w:tcPr>
            <w:tcW w:w="566" w:type="dxa"/>
          </w:tcPr>
          <w:p>
            <w:pPr>
              <w:pStyle w:val="TableParagraph"/>
              <w:spacing w:before="117"/>
              <w:ind w:right="98"/>
              <w:rPr>
                <w:sz w:val="24"/>
              </w:rPr>
            </w:pPr>
            <w:r>
              <w:rPr>
                <w:sz w:val="24"/>
              </w:rPr>
              <w:t>2</w:t>
            </w:r>
          </w:p>
        </w:tc>
        <w:tc>
          <w:tcPr>
            <w:tcW w:w="1445" w:type="dxa"/>
          </w:tcPr>
          <w:p>
            <w:pPr>
              <w:pStyle w:val="TableParagraph"/>
              <w:spacing w:before="117"/>
              <w:ind w:left="105"/>
              <w:jc w:val="left"/>
              <w:rPr>
                <w:sz w:val="24"/>
              </w:rPr>
            </w:pPr>
            <w:r>
              <w:rPr>
                <w:sz w:val="24"/>
              </w:rPr>
              <w:t>SMBR</w:t>
            </w:r>
          </w:p>
        </w:tc>
        <w:tc>
          <w:tcPr>
            <w:tcW w:w="1435" w:type="dxa"/>
          </w:tcPr>
          <w:p>
            <w:pPr>
              <w:pStyle w:val="TableParagraph"/>
              <w:spacing w:before="117"/>
              <w:ind w:right="88"/>
              <w:rPr>
                <w:sz w:val="24"/>
              </w:rPr>
            </w:pPr>
            <w:r>
              <w:rPr>
                <w:sz w:val="24"/>
              </w:rPr>
              <w:t>1,198,586</w:t>
            </w:r>
          </w:p>
        </w:tc>
        <w:tc>
          <w:tcPr>
            <w:tcW w:w="1430" w:type="dxa"/>
          </w:tcPr>
          <w:p>
            <w:pPr>
              <w:pStyle w:val="TableParagraph"/>
              <w:spacing w:before="117"/>
              <w:ind w:right="87"/>
              <w:rPr>
                <w:sz w:val="24"/>
              </w:rPr>
            </w:pPr>
            <w:r>
              <w:rPr>
                <w:sz w:val="24"/>
              </w:rPr>
              <w:t>2,711,416</w:t>
            </w:r>
          </w:p>
        </w:tc>
        <w:tc>
          <w:tcPr>
            <w:tcW w:w="1435" w:type="dxa"/>
          </w:tcPr>
          <w:p>
            <w:pPr>
              <w:pStyle w:val="TableParagraph"/>
              <w:spacing w:before="117"/>
              <w:ind w:right="86"/>
              <w:rPr>
                <w:sz w:val="24"/>
              </w:rPr>
            </w:pPr>
            <w:r>
              <w:rPr>
                <w:sz w:val="24"/>
              </w:rPr>
              <w:t>2,926,360</w:t>
            </w:r>
          </w:p>
        </w:tc>
        <w:tc>
          <w:tcPr>
            <w:tcW w:w="1430" w:type="dxa"/>
          </w:tcPr>
          <w:p>
            <w:pPr>
              <w:pStyle w:val="TableParagraph"/>
              <w:spacing w:before="117"/>
              <w:ind w:right="86"/>
              <w:rPr>
                <w:sz w:val="24"/>
              </w:rPr>
            </w:pPr>
            <w:r>
              <w:rPr>
                <w:sz w:val="24"/>
              </w:rPr>
              <w:t>3,268,667</w:t>
            </w:r>
          </w:p>
        </w:tc>
        <w:tc>
          <w:tcPr>
            <w:tcW w:w="1434" w:type="dxa"/>
          </w:tcPr>
          <w:p>
            <w:pPr>
              <w:pStyle w:val="TableParagraph"/>
              <w:spacing w:before="117"/>
              <w:ind w:right="84"/>
              <w:rPr>
                <w:sz w:val="24"/>
              </w:rPr>
            </w:pPr>
            <w:r>
              <w:rPr>
                <w:sz w:val="24"/>
              </w:rPr>
              <w:t>4,368,876</w:t>
            </w:r>
          </w:p>
        </w:tc>
        <w:tc>
          <w:tcPr>
            <w:tcW w:w="1430" w:type="dxa"/>
          </w:tcPr>
          <w:p>
            <w:pPr>
              <w:pStyle w:val="TableParagraph"/>
              <w:spacing w:before="117"/>
              <w:ind w:right="78"/>
              <w:rPr>
                <w:sz w:val="24"/>
              </w:rPr>
            </w:pPr>
            <w:r>
              <w:rPr>
                <w:sz w:val="24"/>
              </w:rPr>
              <w:t>5,060,337</w:t>
            </w:r>
          </w:p>
        </w:tc>
        <w:tc>
          <w:tcPr>
            <w:tcW w:w="1435" w:type="dxa"/>
          </w:tcPr>
          <w:p>
            <w:pPr>
              <w:pStyle w:val="TableParagraph"/>
              <w:spacing w:before="117"/>
              <w:ind w:right="82"/>
              <w:rPr>
                <w:sz w:val="24"/>
              </w:rPr>
            </w:pPr>
            <w:r>
              <w:rPr>
                <w:sz w:val="24"/>
              </w:rPr>
              <w:t>5,538,079</w:t>
            </w:r>
          </w:p>
        </w:tc>
      </w:tr>
      <w:tr>
        <w:trPr>
          <w:trHeight w:val="398" w:hRule="atLeast"/>
        </w:trPr>
        <w:tc>
          <w:tcPr>
            <w:tcW w:w="566" w:type="dxa"/>
          </w:tcPr>
          <w:p>
            <w:pPr>
              <w:pStyle w:val="TableParagraph"/>
              <w:spacing w:before="111"/>
              <w:ind w:right="98"/>
              <w:rPr>
                <w:sz w:val="24"/>
              </w:rPr>
            </w:pPr>
            <w:r>
              <w:rPr>
                <w:sz w:val="24"/>
              </w:rPr>
              <w:t>3</w:t>
            </w:r>
          </w:p>
        </w:tc>
        <w:tc>
          <w:tcPr>
            <w:tcW w:w="1445" w:type="dxa"/>
          </w:tcPr>
          <w:p>
            <w:pPr>
              <w:pStyle w:val="TableParagraph"/>
              <w:spacing w:before="111"/>
              <w:ind w:left="105"/>
              <w:jc w:val="left"/>
              <w:rPr>
                <w:sz w:val="24"/>
              </w:rPr>
            </w:pPr>
            <w:r>
              <w:rPr>
                <w:sz w:val="24"/>
              </w:rPr>
              <w:t>SMCB</w:t>
            </w:r>
          </w:p>
        </w:tc>
        <w:tc>
          <w:tcPr>
            <w:tcW w:w="1435" w:type="dxa"/>
          </w:tcPr>
          <w:p>
            <w:pPr>
              <w:pStyle w:val="TableParagraph"/>
              <w:spacing w:before="111"/>
              <w:ind w:right="88"/>
              <w:rPr>
                <w:sz w:val="24"/>
              </w:rPr>
            </w:pPr>
            <w:r>
              <w:rPr>
                <w:sz w:val="24"/>
              </w:rPr>
              <w:t>12,168,517</w:t>
            </w:r>
          </w:p>
        </w:tc>
        <w:tc>
          <w:tcPr>
            <w:tcW w:w="1430" w:type="dxa"/>
          </w:tcPr>
          <w:p>
            <w:pPr>
              <w:pStyle w:val="TableParagraph"/>
              <w:spacing w:before="111"/>
              <w:ind w:right="87"/>
              <w:rPr>
                <w:sz w:val="24"/>
              </w:rPr>
            </w:pPr>
            <w:r>
              <w:rPr>
                <w:sz w:val="24"/>
              </w:rPr>
              <w:t>14,894,990</w:t>
            </w:r>
          </w:p>
        </w:tc>
        <w:tc>
          <w:tcPr>
            <w:tcW w:w="1435" w:type="dxa"/>
          </w:tcPr>
          <w:p>
            <w:pPr>
              <w:pStyle w:val="TableParagraph"/>
              <w:spacing w:before="111"/>
              <w:ind w:right="86"/>
              <w:rPr>
                <w:sz w:val="24"/>
              </w:rPr>
            </w:pPr>
            <w:r>
              <w:rPr>
                <w:sz w:val="24"/>
              </w:rPr>
              <w:t>17,195,352</w:t>
            </w:r>
          </w:p>
        </w:tc>
        <w:tc>
          <w:tcPr>
            <w:tcW w:w="1430" w:type="dxa"/>
          </w:tcPr>
          <w:p>
            <w:pPr>
              <w:pStyle w:val="TableParagraph"/>
              <w:spacing w:before="111"/>
              <w:ind w:right="86"/>
              <w:rPr>
                <w:sz w:val="24"/>
              </w:rPr>
            </w:pPr>
            <w:r>
              <w:rPr>
                <w:sz w:val="24"/>
              </w:rPr>
              <w:t>17,370,875</w:t>
            </w:r>
          </w:p>
        </w:tc>
        <w:tc>
          <w:tcPr>
            <w:tcW w:w="1434" w:type="dxa"/>
          </w:tcPr>
          <w:p>
            <w:pPr>
              <w:pStyle w:val="TableParagraph"/>
              <w:spacing w:before="111"/>
              <w:ind w:right="84"/>
              <w:rPr>
                <w:sz w:val="24"/>
              </w:rPr>
            </w:pPr>
            <w:r>
              <w:rPr>
                <w:sz w:val="24"/>
              </w:rPr>
              <w:t>19,763,133</w:t>
            </w:r>
          </w:p>
        </w:tc>
        <w:tc>
          <w:tcPr>
            <w:tcW w:w="1430" w:type="dxa"/>
          </w:tcPr>
          <w:p>
            <w:pPr>
              <w:pStyle w:val="TableParagraph"/>
              <w:spacing w:before="111"/>
              <w:ind w:right="78"/>
              <w:rPr>
                <w:sz w:val="24"/>
              </w:rPr>
            </w:pPr>
            <w:r>
              <w:rPr>
                <w:sz w:val="24"/>
              </w:rPr>
              <w:t>19,626,403</w:t>
            </w:r>
          </w:p>
        </w:tc>
        <w:tc>
          <w:tcPr>
            <w:tcW w:w="1435" w:type="dxa"/>
          </w:tcPr>
          <w:p>
            <w:pPr>
              <w:pStyle w:val="TableParagraph"/>
              <w:spacing w:before="111"/>
              <w:ind w:right="83"/>
              <w:rPr>
                <w:sz w:val="24"/>
              </w:rPr>
            </w:pPr>
            <w:r>
              <w:rPr>
                <w:sz w:val="24"/>
              </w:rPr>
              <w:t>18,667,187</w:t>
            </w:r>
          </w:p>
        </w:tc>
      </w:tr>
      <w:tr>
        <w:trPr>
          <w:trHeight w:val="398" w:hRule="atLeast"/>
        </w:trPr>
        <w:tc>
          <w:tcPr>
            <w:tcW w:w="566" w:type="dxa"/>
          </w:tcPr>
          <w:p>
            <w:pPr>
              <w:pStyle w:val="TableParagraph"/>
              <w:spacing w:before="111"/>
              <w:ind w:right="98"/>
              <w:rPr>
                <w:sz w:val="24"/>
              </w:rPr>
            </w:pPr>
            <w:r>
              <w:rPr>
                <w:sz w:val="24"/>
              </w:rPr>
              <w:t>4</w:t>
            </w:r>
          </w:p>
        </w:tc>
        <w:tc>
          <w:tcPr>
            <w:tcW w:w="1445" w:type="dxa"/>
          </w:tcPr>
          <w:p>
            <w:pPr>
              <w:pStyle w:val="TableParagraph"/>
              <w:spacing w:before="111"/>
              <w:ind w:left="105"/>
              <w:jc w:val="left"/>
              <w:rPr>
                <w:sz w:val="24"/>
              </w:rPr>
            </w:pPr>
            <w:r>
              <w:rPr>
                <w:sz w:val="24"/>
              </w:rPr>
              <w:t>SMGR</w:t>
            </w:r>
          </w:p>
        </w:tc>
        <w:tc>
          <w:tcPr>
            <w:tcW w:w="1435" w:type="dxa"/>
          </w:tcPr>
          <w:p>
            <w:pPr>
              <w:pStyle w:val="TableParagraph"/>
              <w:spacing w:before="111"/>
              <w:ind w:right="88"/>
              <w:rPr>
                <w:sz w:val="24"/>
              </w:rPr>
            </w:pPr>
            <w:r>
              <w:rPr>
                <w:sz w:val="24"/>
              </w:rPr>
              <w:t>26,579,083</w:t>
            </w:r>
          </w:p>
        </w:tc>
        <w:tc>
          <w:tcPr>
            <w:tcW w:w="1430" w:type="dxa"/>
          </w:tcPr>
          <w:p>
            <w:pPr>
              <w:pStyle w:val="TableParagraph"/>
              <w:spacing w:before="111"/>
              <w:ind w:right="87"/>
              <w:rPr>
                <w:sz w:val="24"/>
              </w:rPr>
            </w:pPr>
            <w:r>
              <w:rPr>
                <w:sz w:val="24"/>
              </w:rPr>
              <w:t>30,792,884</w:t>
            </w:r>
          </w:p>
        </w:tc>
        <w:tc>
          <w:tcPr>
            <w:tcW w:w="1435" w:type="dxa"/>
          </w:tcPr>
          <w:p>
            <w:pPr>
              <w:pStyle w:val="TableParagraph"/>
              <w:spacing w:before="111"/>
              <w:ind w:right="86"/>
              <w:rPr>
                <w:sz w:val="24"/>
              </w:rPr>
            </w:pPr>
            <w:r>
              <w:rPr>
                <w:sz w:val="24"/>
              </w:rPr>
              <w:t>34,314,666</w:t>
            </w:r>
          </w:p>
        </w:tc>
        <w:tc>
          <w:tcPr>
            <w:tcW w:w="1430" w:type="dxa"/>
          </w:tcPr>
          <w:p>
            <w:pPr>
              <w:pStyle w:val="TableParagraph"/>
              <w:spacing w:before="111"/>
              <w:ind w:right="86"/>
              <w:rPr>
                <w:sz w:val="24"/>
              </w:rPr>
            </w:pPr>
            <w:r>
              <w:rPr>
                <w:sz w:val="24"/>
              </w:rPr>
              <w:t>38,153,118</w:t>
            </w:r>
          </w:p>
        </w:tc>
        <w:tc>
          <w:tcPr>
            <w:tcW w:w="1434" w:type="dxa"/>
          </w:tcPr>
          <w:p>
            <w:pPr>
              <w:pStyle w:val="TableParagraph"/>
              <w:spacing w:before="111"/>
              <w:ind w:right="84"/>
              <w:rPr>
                <w:sz w:val="24"/>
              </w:rPr>
            </w:pPr>
            <w:r>
              <w:rPr>
                <w:sz w:val="24"/>
              </w:rPr>
              <w:t>44,226,895</w:t>
            </w:r>
          </w:p>
        </w:tc>
        <w:tc>
          <w:tcPr>
            <w:tcW w:w="1430" w:type="dxa"/>
          </w:tcPr>
          <w:p>
            <w:pPr>
              <w:pStyle w:val="TableParagraph"/>
              <w:spacing w:before="111"/>
              <w:ind w:right="78"/>
              <w:rPr>
                <w:sz w:val="24"/>
              </w:rPr>
            </w:pPr>
            <w:r>
              <w:rPr>
                <w:sz w:val="24"/>
              </w:rPr>
              <w:t>49,068,650</w:t>
            </w:r>
          </w:p>
        </w:tc>
        <w:tc>
          <w:tcPr>
            <w:tcW w:w="1435" w:type="dxa"/>
          </w:tcPr>
          <w:p>
            <w:pPr>
              <w:pStyle w:val="TableParagraph"/>
              <w:spacing w:before="111"/>
              <w:ind w:right="83"/>
              <w:rPr>
                <w:sz w:val="24"/>
              </w:rPr>
            </w:pPr>
            <w:r>
              <w:rPr>
                <w:sz w:val="24"/>
              </w:rPr>
              <w:t>51,155,890</w:t>
            </w:r>
          </w:p>
        </w:tc>
      </w:tr>
      <w:tr>
        <w:trPr>
          <w:trHeight w:val="398" w:hRule="atLeast"/>
        </w:trPr>
        <w:tc>
          <w:tcPr>
            <w:tcW w:w="566" w:type="dxa"/>
          </w:tcPr>
          <w:p>
            <w:pPr>
              <w:pStyle w:val="TableParagraph"/>
              <w:spacing w:line="261" w:lineRule="exact" w:before="117"/>
              <w:ind w:right="98"/>
              <w:rPr>
                <w:sz w:val="24"/>
              </w:rPr>
            </w:pPr>
            <w:r>
              <w:rPr>
                <w:sz w:val="24"/>
              </w:rPr>
              <w:t>5</w:t>
            </w:r>
          </w:p>
        </w:tc>
        <w:tc>
          <w:tcPr>
            <w:tcW w:w="1445" w:type="dxa"/>
          </w:tcPr>
          <w:p>
            <w:pPr>
              <w:pStyle w:val="TableParagraph"/>
              <w:spacing w:line="261" w:lineRule="exact" w:before="117"/>
              <w:ind w:left="105"/>
              <w:jc w:val="left"/>
              <w:rPr>
                <w:sz w:val="24"/>
              </w:rPr>
            </w:pPr>
            <w:r>
              <w:rPr>
                <w:sz w:val="24"/>
              </w:rPr>
              <w:t>WTON</w:t>
            </w:r>
          </w:p>
        </w:tc>
        <w:tc>
          <w:tcPr>
            <w:tcW w:w="1435" w:type="dxa"/>
          </w:tcPr>
          <w:p>
            <w:pPr>
              <w:pStyle w:val="TableParagraph"/>
              <w:spacing w:line="261" w:lineRule="exact" w:before="117"/>
              <w:ind w:right="88"/>
              <w:rPr>
                <w:sz w:val="24"/>
              </w:rPr>
            </w:pPr>
            <w:r>
              <w:rPr>
                <w:sz w:val="24"/>
              </w:rPr>
              <w:t>8,366,244</w:t>
            </w:r>
          </w:p>
        </w:tc>
        <w:tc>
          <w:tcPr>
            <w:tcW w:w="1430" w:type="dxa"/>
          </w:tcPr>
          <w:p>
            <w:pPr>
              <w:pStyle w:val="TableParagraph"/>
              <w:spacing w:line="261" w:lineRule="exact" w:before="117"/>
              <w:ind w:right="87"/>
              <w:rPr>
                <w:sz w:val="24"/>
              </w:rPr>
            </w:pPr>
            <w:r>
              <w:rPr>
                <w:sz w:val="24"/>
              </w:rPr>
              <w:t>8,788,303</w:t>
            </w:r>
          </w:p>
        </w:tc>
        <w:tc>
          <w:tcPr>
            <w:tcW w:w="1435" w:type="dxa"/>
          </w:tcPr>
          <w:p>
            <w:pPr>
              <w:pStyle w:val="TableParagraph"/>
              <w:spacing w:line="261" w:lineRule="exact" w:before="117"/>
              <w:ind w:right="86"/>
              <w:rPr>
                <w:sz w:val="24"/>
              </w:rPr>
            </w:pPr>
            <w:r>
              <w:rPr>
                <w:sz w:val="24"/>
              </w:rPr>
              <w:t>3,802,658</w:t>
            </w:r>
          </w:p>
        </w:tc>
        <w:tc>
          <w:tcPr>
            <w:tcW w:w="1430" w:type="dxa"/>
          </w:tcPr>
          <w:p>
            <w:pPr>
              <w:pStyle w:val="TableParagraph"/>
              <w:spacing w:line="261" w:lineRule="exact" w:before="117"/>
              <w:ind w:right="86"/>
              <w:rPr>
                <w:sz w:val="24"/>
              </w:rPr>
            </w:pPr>
            <w:r>
              <w:rPr>
                <w:sz w:val="24"/>
              </w:rPr>
              <w:t>4,456,097</w:t>
            </w:r>
          </w:p>
        </w:tc>
        <w:tc>
          <w:tcPr>
            <w:tcW w:w="1434" w:type="dxa"/>
          </w:tcPr>
          <w:p>
            <w:pPr>
              <w:pStyle w:val="TableParagraph"/>
              <w:spacing w:line="261" w:lineRule="exact" w:before="117"/>
              <w:ind w:right="84"/>
              <w:rPr>
                <w:sz w:val="24"/>
              </w:rPr>
            </w:pPr>
            <w:r>
              <w:rPr>
                <w:sz w:val="24"/>
              </w:rPr>
              <w:t>4,662,319</w:t>
            </w:r>
          </w:p>
        </w:tc>
        <w:tc>
          <w:tcPr>
            <w:tcW w:w="1430" w:type="dxa"/>
          </w:tcPr>
          <w:p>
            <w:pPr>
              <w:pStyle w:val="TableParagraph"/>
              <w:spacing w:line="261" w:lineRule="exact" w:before="117"/>
              <w:ind w:right="78"/>
              <w:rPr>
                <w:sz w:val="24"/>
              </w:rPr>
            </w:pPr>
            <w:r>
              <w:rPr>
                <w:sz w:val="24"/>
              </w:rPr>
              <w:t>7,067,976</w:t>
            </w:r>
          </w:p>
        </w:tc>
        <w:tc>
          <w:tcPr>
            <w:tcW w:w="1435" w:type="dxa"/>
          </w:tcPr>
          <w:p>
            <w:pPr>
              <w:pStyle w:val="TableParagraph"/>
              <w:spacing w:line="261" w:lineRule="exact" w:before="117"/>
              <w:ind w:right="82"/>
              <w:rPr>
                <w:sz w:val="24"/>
              </w:rPr>
            </w:pPr>
            <w:r>
              <w:rPr>
                <w:sz w:val="24"/>
              </w:rPr>
              <w:t>8,881,778</w:t>
            </w:r>
          </w:p>
        </w:tc>
      </w:tr>
    </w:tbl>
    <w:p>
      <w:pPr>
        <w:spacing w:after="0" w:line="261" w:lineRule="exact"/>
        <w:rPr>
          <w:sz w:val="24"/>
        </w:rPr>
        <w:sectPr>
          <w:footerReference w:type="default" r:id="rId25"/>
          <w:pgSz w:w="16840" w:h="11910" w:orient="landscape"/>
          <w:pgMar w:footer="0" w:header="0" w:top="1100" w:bottom="280" w:left="1480" w:right="2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1305"/>
        <w:gridCol w:w="979"/>
        <w:gridCol w:w="983"/>
        <w:gridCol w:w="979"/>
        <w:gridCol w:w="979"/>
        <w:gridCol w:w="979"/>
        <w:gridCol w:w="912"/>
        <w:gridCol w:w="912"/>
      </w:tblGrid>
      <w:tr>
        <w:trPr>
          <w:trHeight w:val="316" w:hRule="atLeast"/>
        </w:trPr>
        <w:tc>
          <w:tcPr>
            <w:tcW w:w="965" w:type="dxa"/>
            <w:vMerge w:val="restart"/>
          </w:tcPr>
          <w:p>
            <w:pPr>
              <w:pStyle w:val="TableParagraph"/>
              <w:spacing w:line="240" w:lineRule="auto" w:before="179"/>
              <w:ind w:left="314" w:right="306"/>
              <w:jc w:val="center"/>
              <w:rPr>
                <w:sz w:val="24"/>
              </w:rPr>
            </w:pPr>
            <w:r>
              <w:rPr>
                <w:sz w:val="24"/>
              </w:rPr>
              <w:t>No</w:t>
            </w:r>
          </w:p>
        </w:tc>
        <w:tc>
          <w:tcPr>
            <w:tcW w:w="1305" w:type="dxa"/>
            <w:vMerge w:val="restart"/>
          </w:tcPr>
          <w:p>
            <w:pPr>
              <w:pStyle w:val="TableParagraph"/>
              <w:spacing w:line="237" w:lineRule="auto" w:before="42"/>
              <w:ind w:left="105" w:right="77" w:firstLine="288"/>
              <w:jc w:val="left"/>
              <w:rPr>
                <w:sz w:val="24"/>
              </w:rPr>
            </w:pPr>
            <w:r>
              <w:rPr>
                <w:sz w:val="24"/>
              </w:rPr>
              <w:t>Kode Perusahaan</w:t>
            </w:r>
          </w:p>
        </w:tc>
        <w:tc>
          <w:tcPr>
            <w:tcW w:w="6723" w:type="dxa"/>
            <w:gridSpan w:val="7"/>
          </w:tcPr>
          <w:p>
            <w:pPr>
              <w:pStyle w:val="TableParagraph"/>
              <w:spacing w:line="261" w:lineRule="exact" w:before="35"/>
              <w:ind w:left="2585" w:right="2581"/>
              <w:jc w:val="center"/>
              <w:rPr>
                <w:sz w:val="24"/>
              </w:rPr>
            </w:pPr>
            <w:r>
              <w:rPr>
                <w:sz w:val="24"/>
              </w:rPr>
              <w:t>Return On Aset</w:t>
            </w:r>
          </w:p>
        </w:tc>
      </w:tr>
      <w:tr>
        <w:trPr>
          <w:trHeight w:val="316" w:hRule="atLeast"/>
        </w:trPr>
        <w:tc>
          <w:tcPr>
            <w:tcW w:w="965" w:type="dxa"/>
            <w:vMerge/>
            <w:tcBorders>
              <w:top w:val="nil"/>
            </w:tcBorders>
          </w:tcPr>
          <w:p>
            <w:pPr>
              <w:rPr>
                <w:sz w:val="2"/>
                <w:szCs w:val="2"/>
              </w:rPr>
            </w:pPr>
          </w:p>
        </w:tc>
        <w:tc>
          <w:tcPr>
            <w:tcW w:w="1305" w:type="dxa"/>
            <w:vMerge/>
            <w:tcBorders>
              <w:top w:val="nil"/>
            </w:tcBorders>
          </w:tcPr>
          <w:p>
            <w:pPr>
              <w:rPr>
                <w:sz w:val="2"/>
                <w:szCs w:val="2"/>
              </w:rPr>
            </w:pPr>
          </w:p>
        </w:tc>
        <w:tc>
          <w:tcPr>
            <w:tcW w:w="979" w:type="dxa"/>
          </w:tcPr>
          <w:p>
            <w:pPr>
              <w:pStyle w:val="TableParagraph"/>
              <w:spacing w:before="30"/>
              <w:ind w:right="92"/>
              <w:rPr>
                <w:sz w:val="24"/>
              </w:rPr>
            </w:pPr>
            <w:r>
              <w:rPr>
                <w:sz w:val="24"/>
              </w:rPr>
              <w:t>2012</w:t>
            </w:r>
          </w:p>
        </w:tc>
        <w:tc>
          <w:tcPr>
            <w:tcW w:w="983" w:type="dxa"/>
          </w:tcPr>
          <w:p>
            <w:pPr>
              <w:pStyle w:val="TableParagraph"/>
              <w:spacing w:before="30"/>
              <w:ind w:right="96"/>
              <w:rPr>
                <w:sz w:val="24"/>
              </w:rPr>
            </w:pPr>
            <w:r>
              <w:rPr>
                <w:sz w:val="24"/>
              </w:rPr>
              <w:t>2013</w:t>
            </w:r>
          </w:p>
        </w:tc>
        <w:tc>
          <w:tcPr>
            <w:tcW w:w="979" w:type="dxa"/>
          </w:tcPr>
          <w:p>
            <w:pPr>
              <w:pStyle w:val="TableParagraph"/>
              <w:spacing w:before="30"/>
              <w:ind w:right="95"/>
              <w:rPr>
                <w:sz w:val="24"/>
              </w:rPr>
            </w:pPr>
            <w:r>
              <w:rPr>
                <w:sz w:val="24"/>
              </w:rPr>
              <w:t>2014</w:t>
            </w:r>
          </w:p>
        </w:tc>
        <w:tc>
          <w:tcPr>
            <w:tcW w:w="979" w:type="dxa"/>
          </w:tcPr>
          <w:p>
            <w:pPr>
              <w:pStyle w:val="TableParagraph"/>
              <w:spacing w:before="30"/>
              <w:ind w:right="90"/>
              <w:rPr>
                <w:sz w:val="24"/>
              </w:rPr>
            </w:pPr>
            <w:r>
              <w:rPr>
                <w:sz w:val="24"/>
              </w:rPr>
              <w:t>2015</w:t>
            </w:r>
          </w:p>
        </w:tc>
        <w:tc>
          <w:tcPr>
            <w:tcW w:w="979" w:type="dxa"/>
          </w:tcPr>
          <w:p>
            <w:pPr>
              <w:pStyle w:val="TableParagraph"/>
              <w:spacing w:before="30"/>
              <w:ind w:right="89"/>
              <w:rPr>
                <w:sz w:val="24"/>
              </w:rPr>
            </w:pPr>
            <w:r>
              <w:rPr>
                <w:sz w:val="24"/>
              </w:rPr>
              <w:t>2016</w:t>
            </w:r>
          </w:p>
        </w:tc>
        <w:tc>
          <w:tcPr>
            <w:tcW w:w="912" w:type="dxa"/>
          </w:tcPr>
          <w:p>
            <w:pPr>
              <w:pStyle w:val="TableParagraph"/>
              <w:spacing w:before="30"/>
              <w:ind w:right="89"/>
              <w:rPr>
                <w:sz w:val="24"/>
              </w:rPr>
            </w:pPr>
            <w:r>
              <w:rPr>
                <w:sz w:val="24"/>
              </w:rPr>
              <w:t>2017</w:t>
            </w:r>
          </w:p>
        </w:tc>
        <w:tc>
          <w:tcPr>
            <w:tcW w:w="912" w:type="dxa"/>
          </w:tcPr>
          <w:p>
            <w:pPr>
              <w:pStyle w:val="TableParagraph"/>
              <w:spacing w:before="30"/>
              <w:ind w:right="89"/>
              <w:rPr>
                <w:sz w:val="24"/>
              </w:rPr>
            </w:pPr>
            <w:r>
              <w:rPr>
                <w:sz w:val="24"/>
              </w:rPr>
              <w:t>2018</w:t>
            </w:r>
          </w:p>
        </w:tc>
      </w:tr>
      <w:tr>
        <w:trPr>
          <w:trHeight w:val="316" w:hRule="atLeast"/>
        </w:trPr>
        <w:tc>
          <w:tcPr>
            <w:tcW w:w="965" w:type="dxa"/>
          </w:tcPr>
          <w:p>
            <w:pPr>
              <w:pStyle w:val="TableParagraph"/>
              <w:spacing w:before="30"/>
              <w:ind w:right="98"/>
              <w:rPr>
                <w:sz w:val="24"/>
              </w:rPr>
            </w:pPr>
            <w:r>
              <w:rPr>
                <w:sz w:val="24"/>
              </w:rPr>
              <w:t>1</w:t>
            </w:r>
          </w:p>
        </w:tc>
        <w:tc>
          <w:tcPr>
            <w:tcW w:w="1305" w:type="dxa"/>
          </w:tcPr>
          <w:p>
            <w:pPr>
              <w:pStyle w:val="TableParagraph"/>
              <w:spacing w:before="30"/>
              <w:ind w:left="105"/>
              <w:jc w:val="left"/>
              <w:rPr>
                <w:sz w:val="24"/>
              </w:rPr>
            </w:pPr>
            <w:r>
              <w:rPr>
                <w:sz w:val="24"/>
              </w:rPr>
              <w:t>INTP</w:t>
            </w:r>
          </w:p>
        </w:tc>
        <w:tc>
          <w:tcPr>
            <w:tcW w:w="979" w:type="dxa"/>
          </w:tcPr>
          <w:p>
            <w:pPr>
              <w:pStyle w:val="TableParagraph"/>
              <w:spacing w:before="30"/>
              <w:ind w:right="87"/>
              <w:rPr>
                <w:sz w:val="24"/>
              </w:rPr>
            </w:pPr>
            <w:r>
              <w:rPr>
                <w:sz w:val="24"/>
              </w:rPr>
              <w:t>20.93</w:t>
            </w:r>
          </w:p>
        </w:tc>
        <w:tc>
          <w:tcPr>
            <w:tcW w:w="983" w:type="dxa"/>
          </w:tcPr>
          <w:p>
            <w:pPr>
              <w:pStyle w:val="TableParagraph"/>
              <w:spacing w:before="30"/>
              <w:ind w:right="91"/>
              <w:rPr>
                <w:sz w:val="24"/>
              </w:rPr>
            </w:pPr>
            <w:r>
              <w:rPr>
                <w:sz w:val="24"/>
              </w:rPr>
              <w:t>18.84</w:t>
            </w:r>
          </w:p>
        </w:tc>
        <w:tc>
          <w:tcPr>
            <w:tcW w:w="979" w:type="dxa"/>
          </w:tcPr>
          <w:p>
            <w:pPr>
              <w:pStyle w:val="TableParagraph"/>
              <w:spacing w:before="30"/>
              <w:ind w:right="90"/>
              <w:rPr>
                <w:sz w:val="24"/>
              </w:rPr>
            </w:pPr>
            <w:r>
              <w:rPr>
                <w:sz w:val="24"/>
              </w:rPr>
              <w:t>18.26</w:t>
            </w:r>
          </w:p>
        </w:tc>
        <w:tc>
          <w:tcPr>
            <w:tcW w:w="979" w:type="dxa"/>
          </w:tcPr>
          <w:p>
            <w:pPr>
              <w:pStyle w:val="TableParagraph"/>
              <w:spacing w:before="30"/>
              <w:ind w:right="85"/>
              <w:rPr>
                <w:sz w:val="24"/>
              </w:rPr>
            </w:pPr>
            <w:r>
              <w:rPr>
                <w:sz w:val="24"/>
              </w:rPr>
              <w:t>15.76</w:t>
            </w:r>
          </w:p>
        </w:tc>
        <w:tc>
          <w:tcPr>
            <w:tcW w:w="979" w:type="dxa"/>
          </w:tcPr>
          <w:p>
            <w:pPr>
              <w:pStyle w:val="TableParagraph"/>
              <w:spacing w:before="30"/>
              <w:ind w:right="85"/>
              <w:rPr>
                <w:sz w:val="24"/>
              </w:rPr>
            </w:pPr>
            <w:r>
              <w:rPr>
                <w:sz w:val="24"/>
              </w:rPr>
              <w:t>12.84</w:t>
            </w:r>
          </w:p>
        </w:tc>
        <w:tc>
          <w:tcPr>
            <w:tcW w:w="912" w:type="dxa"/>
          </w:tcPr>
          <w:p>
            <w:pPr>
              <w:pStyle w:val="TableParagraph"/>
              <w:spacing w:before="30"/>
              <w:ind w:right="85"/>
              <w:rPr>
                <w:sz w:val="24"/>
              </w:rPr>
            </w:pPr>
            <w:r>
              <w:rPr>
                <w:sz w:val="24"/>
              </w:rPr>
              <w:t>6.44</w:t>
            </w:r>
          </w:p>
        </w:tc>
        <w:tc>
          <w:tcPr>
            <w:tcW w:w="912" w:type="dxa"/>
          </w:tcPr>
          <w:p>
            <w:pPr>
              <w:pStyle w:val="TableParagraph"/>
              <w:spacing w:before="30"/>
              <w:ind w:right="84"/>
              <w:rPr>
                <w:sz w:val="24"/>
              </w:rPr>
            </w:pPr>
            <w:r>
              <w:rPr>
                <w:sz w:val="24"/>
              </w:rPr>
              <w:t>4.12</w:t>
            </w:r>
          </w:p>
        </w:tc>
      </w:tr>
      <w:tr>
        <w:trPr>
          <w:trHeight w:val="311" w:hRule="atLeast"/>
        </w:trPr>
        <w:tc>
          <w:tcPr>
            <w:tcW w:w="965" w:type="dxa"/>
          </w:tcPr>
          <w:p>
            <w:pPr>
              <w:pStyle w:val="TableParagraph"/>
              <w:spacing w:line="261" w:lineRule="exact" w:before="30"/>
              <w:ind w:right="98"/>
              <w:rPr>
                <w:sz w:val="24"/>
              </w:rPr>
            </w:pPr>
            <w:r>
              <w:rPr>
                <w:sz w:val="24"/>
              </w:rPr>
              <w:t>2</w:t>
            </w:r>
          </w:p>
        </w:tc>
        <w:tc>
          <w:tcPr>
            <w:tcW w:w="1305" w:type="dxa"/>
          </w:tcPr>
          <w:p>
            <w:pPr>
              <w:pStyle w:val="TableParagraph"/>
              <w:spacing w:line="261" w:lineRule="exact" w:before="30"/>
              <w:ind w:left="105"/>
              <w:jc w:val="left"/>
              <w:rPr>
                <w:sz w:val="24"/>
              </w:rPr>
            </w:pPr>
            <w:r>
              <w:rPr>
                <w:sz w:val="24"/>
              </w:rPr>
              <w:t>SMBR</w:t>
            </w:r>
          </w:p>
        </w:tc>
        <w:tc>
          <w:tcPr>
            <w:tcW w:w="979" w:type="dxa"/>
          </w:tcPr>
          <w:p>
            <w:pPr>
              <w:pStyle w:val="TableParagraph"/>
              <w:spacing w:line="261" w:lineRule="exact" w:before="30"/>
              <w:ind w:right="87"/>
              <w:rPr>
                <w:sz w:val="24"/>
              </w:rPr>
            </w:pPr>
            <w:r>
              <w:rPr>
                <w:sz w:val="24"/>
              </w:rPr>
              <w:t>24.91</w:t>
            </w:r>
          </w:p>
        </w:tc>
        <w:tc>
          <w:tcPr>
            <w:tcW w:w="983" w:type="dxa"/>
          </w:tcPr>
          <w:p>
            <w:pPr>
              <w:pStyle w:val="TableParagraph"/>
              <w:spacing w:line="261" w:lineRule="exact" w:before="30"/>
              <w:ind w:right="91"/>
              <w:rPr>
                <w:sz w:val="24"/>
              </w:rPr>
            </w:pPr>
            <w:r>
              <w:rPr>
                <w:sz w:val="24"/>
              </w:rPr>
              <w:t>11.51</w:t>
            </w:r>
          </w:p>
        </w:tc>
        <w:tc>
          <w:tcPr>
            <w:tcW w:w="979" w:type="dxa"/>
          </w:tcPr>
          <w:p>
            <w:pPr>
              <w:pStyle w:val="TableParagraph"/>
              <w:spacing w:line="261" w:lineRule="exact" w:before="30"/>
              <w:ind w:right="90"/>
              <w:rPr>
                <w:sz w:val="24"/>
              </w:rPr>
            </w:pPr>
            <w:r>
              <w:rPr>
                <w:sz w:val="24"/>
              </w:rPr>
              <w:t>11.22</w:t>
            </w:r>
          </w:p>
        </w:tc>
        <w:tc>
          <w:tcPr>
            <w:tcW w:w="979" w:type="dxa"/>
          </w:tcPr>
          <w:p>
            <w:pPr>
              <w:pStyle w:val="TableParagraph"/>
              <w:spacing w:line="261" w:lineRule="exact" w:before="30"/>
              <w:ind w:right="85"/>
              <w:rPr>
                <w:sz w:val="24"/>
              </w:rPr>
            </w:pPr>
            <w:r>
              <w:rPr>
                <w:sz w:val="24"/>
              </w:rPr>
              <w:t>10.84</w:t>
            </w:r>
          </w:p>
        </w:tc>
        <w:tc>
          <w:tcPr>
            <w:tcW w:w="979" w:type="dxa"/>
          </w:tcPr>
          <w:p>
            <w:pPr>
              <w:pStyle w:val="TableParagraph"/>
              <w:spacing w:line="261" w:lineRule="exact" w:before="30"/>
              <w:ind w:right="85"/>
              <w:rPr>
                <w:sz w:val="24"/>
              </w:rPr>
            </w:pPr>
            <w:r>
              <w:rPr>
                <w:sz w:val="24"/>
              </w:rPr>
              <w:t>5.93</w:t>
            </w:r>
          </w:p>
        </w:tc>
        <w:tc>
          <w:tcPr>
            <w:tcW w:w="912" w:type="dxa"/>
          </w:tcPr>
          <w:p>
            <w:pPr>
              <w:pStyle w:val="TableParagraph"/>
              <w:spacing w:line="261" w:lineRule="exact" w:before="30"/>
              <w:ind w:right="85"/>
              <w:rPr>
                <w:sz w:val="24"/>
              </w:rPr>
            </w:pPr>
            <w:r>
              <w:rPr>
                <w:sz w:val="24"/>
              </w:rPr>
              <w:t>2.90</w:t>
            </w:r>
          </w:p>
        </w:tc>
        <w:tc>
          <w:tcPr>
            <w:tcW w:w="912" w:type="dxa"/>
          </w:tcPr>
          <w:p>
            <w:pPr>
              <w:pStyle w:val="TableParagraph"/>
              <w:spacing w:line="261" w:lineRule="exact" w:before="30"/>
              <w:ind w:right="84"/>
              <w:rPr>
                <w:sz w:val="24"/>
              </w:rPr>
            </w:pPr>
            <w:r>
              <w:rPr>
                <w:sz w:val="24"/>
              </w:rPr>
              <w:t>1.37</w:t>
            </w:r>
          </w:p>
        </w:tc>
      </w:tr>
      <w:tr>
        <w:trPr>
          <w:trHeight w:val="316" w:hRule="atLeast"/>
        </w:trPr>
        <w:tc>
          <w:tcPr>
            <w:tcW w:w="965" w:type="dxa"/>
          </w:tcPr>
          <w:p>
            <w:pPr>
              <w:pStyle w:val="TableParagraph"/>
              <w:spacing w:line="261" w:lineRule="exact" w:before="35"/>
              <w:ind w:right="98"/>
              <w:rPr>
                <w:sz w:val="24"/>
              </w:rPr>
            </w:pPr>
            <w:r>
              <w:rPr>
                <w:sz w:val="24"/>
              </w:rPr>
              <w:t>3</w:t>
            </w:r>
          </w:p>
        </w:tc>
        <w:tc>
          <w:tcPr>
            <w:tcW w:w="1305" w:type="dxa"/>
          </w:tcPr>
          <w:p>
            <w:pPr>
              <w:pStyle w:val="TableParagraph"/>
              <w:spacing w:line="261" w:lineRule="exact" w:before="35"/>
              <w:ind w:left="105"/>
              <w:jc w:val="left"/>
              <w:rPr>
                <w:sz w:val="24"/>
              </w:rPr>
            </w:pPr>
            <w:r>
              <w:rPr>
                <w:sz w:val="24"/>
              </w:rPr>
              <w:t>SMCB</w:t>
            </w:r>
          </w:p>
        </w:tc>
        <w:tc>
          <w:tcPr>
            <w:tcW w:w="979" w:type="dxa"/>
          </w:tcPr>
          <w:p>
            <w:pPr>
              <w:pStyle w:val="TableParagraph"/>
              <w:spacing w:line="261" w:lineRule="exact" w:before="35"/>
              <w:ind w:right="87"/>
              <w:rPr>
                <w:sz w:val="24"/>
              </w:rPr>
            </w:pPr>
            <w:r>
              <w:rPr>
                <w:sz w:val="24"/>
              </w:rPr>
              <w:t>11.10</w:t>
            </w:r>
          </w:p>
        </w:tc>
        <w:tc>
          <w:tcPr>
            <w:tcW w:w="983" w:type="dxa"/>
          </w:tcPr>
          <w:p>
            <w:pPr>
              <w:pStyle w:val="TableParagraph"/>
              <w:spacing w:line="261" w:lineRule="exact" w:before="35"/>
              <w:ind w:right="91"/>
              <w:rPr>
                <w:sz w:val="24"/>
              </w:rPr>
            </w:pPr>
            <w:r>
              <w:rPr>
                <w:sz w:val="24"/>
              </w:rPr>
              <w:t>6.39</w:t>
            </w:r>
          </w:p>
        </w:tc>
        <w:tc>
          <w:tcPr>
            <w:tcW w:w="979" w:type="dxa"/>
          </w:tcPr>
          <w:p>
            <w:pPr>
              <w:pStyle w:val="TableParagraph"/>
              <w:spacing w:line="261" w:lineRule="exact" w:before="35"/>
              <w:ind w:right="90"/>
              <w:rPr>
                <w:sz w:val="24"/>
              </w:rPr>
            </w:pPr>
            <w:r>
              <w:rPr>
                <w:sz w:val="24"/>
              </w:rPr>
              <w:t>3.89</w:t>
            </w:r>
          </w:p>
        </w:tc>
        <w:tc>
          <w:tcPr>
            <w:tcW w:w="979" w:type="dxa"/>
          </w:tcPr>
          <w:p>
            <w:pPr>
              <w:pStyle w:val="TableParagraph"/>
              <w:spacing w:line="261" w:lineRule="exact" w:before="35"/>
              <w:ind w:right="85"/>
              <w:rPr>
                <w:sz w:val="24"/>
              </w:rPr>
            </w:pPr>
            <w:r>
              <w:rPr>
                <w:sz w:val="24"/>
              </w:rPr>
              <w:t>1.01</w:t>
            </w:r>
          </w:p>
        </w:tc>
        <w:tc>
          <w:tcPr>
            <w:tcW w:w="979" w:type="dxa"/>
          </w:tcPr>
          <w:p>
            <w:pPr>
              <w:pStyle w:val="TableParagraph"/>
              <w:spacing w:line="261" w:lineRule="exact" w:before="35"/>
              <w:ind w:right="85"/>
              <w:rPr>
                <w:sz w:val="24"/>
              </w:rPr>
            </w:pPr>
            <w:r>
              <w:rPr>
                <w:sz w:val="24"/>
              </w:rPr>
              <w:t>-1.44</w:t>
            </w:r>
          </w:p>
        </w:tc>
        <w:tc>
          <w:tcPr>
            <w:tcW w:w="912" w:type="dxa"/>
          </w:tcPr>
          <w:p>
            <w:pPr>
              <w:pStyle w:val="TableParagraph"/>
              <w:spacing w:line="261" w:lineRule="exact" w:before="35"/>
              <w:ind w:right="85"/>
              <w:rPr>
                <w:sz w:val="24"/>
              </w:rPr>
            </w:pPr>
            <w:r>
              <w:rPr>
                <w:sz w:val="24"/>
              </w:rPr>
              <w:t>-3.86</w:t>
            </w:r>
          </w:p>
        </w:tc>
        <w:tc>
          <w:tcPr>
            <w:tcW w:w="912" w:type="dxa"/>
          </w:tcPr>
          <w:p>
            <w:pPr>
              <w:pStyle w:val="TableParagraph"/>
              <w:spacing w:line="261" w:lineRule="exact" w:before="35"/>
              <w:ind w:right="84"/>
              <w:rPr>
                <w:sz w:val="24"/>
              </w:rPr>
            </w:pPr>
            <w:r>
              <w:rPr>
                <w:sz w:val="24"/>
              </w:rPr>
              <w:t>-4.44</w:t>
            </w:r>
          </w:p>
        </w:tc>
      </w:tr>
      <w:tr>
        <w:trPr>
          <w:trHeight w:val="316" w:hRule="atLeast"/>
        </w:trPr>
        <w:tc>
          <w:tcPr>
            <w:tcW w:w="965" w:type="dxa"/>
          </w:tcPr>
          <w:p>
            <w:pPr>
              <w:pStyle w:val="TableParagraph"/>
              <w:spacing w:before="30"/>
              <w:ind w:right="98"/>
              <w:rPr>
                <w:sz w:val="24"/>
              </w:rPr>
            </w:pPr>
            <w:r>
              <w:rPr>
                <w:sz w:val="24"/>
              </w:rPr>
              <w:t>4</w:t>
            </w:r>
          </w:p>
        </w:tc>
        <w:tc>
          <w:tcPr>
            <w:tcW w:w="1305" w:type="dxa"/>
          </w:tcPr>
          <w:p>
            <w:pPr>
              <w:pStyle w:val="TableParagraph"/>
              <w:spacing w:before="30"/>
              <w:ind w:left="105"/>
              <w:jc w:val="left"/>
              <w:rPr>
                <w:sz w:val="24"/>
              </w:rPr>
            </w:pPr>
            <w:r>
              <w:rPr>
                <w:sz w:val="24"/>
              </w:rPr>
              <w:t>SMGR</w:t>
            </w:r>
          </w:p>
        </w:tc>
        <w:tc>
          <w:tcPr>
            <w:tcW w:w="979" w:type="dxa"/>
          </w:tcPr>
          <w:p>
            <w:pPr>
              <w:pStyle w:val="TableParagraph"/>
              <w:spacing w:before="30"/>
              <w:ind w:right="87"/>
              <w:rPr>
                <w:sz w:val="24"/>
              </w:rPr>
            </w:pPr>
            <w:r>
              <w:rPr>
                <w:sz w:val="24"/>
              </w:rPr>
              <w:t>18.54</w:t>
            </w:r>
          </w:p>
        </w:tc>
        <w:tc>
          <w:tcPr>
            <w:tcW w:w="983" w:type="dxa"/>
          </w:tcPr>
          <w:p>
            <w:pPr>
              <w:pStyle w:val="TableParagraph"/>
              <w:spacing w:before="30"/>
              <w:ind w:right="91"/>
              <w:rPr>
                <w:sz w:val="24"/>
              </w:rPr>
            </w:pPr>
            <w:r>
              <w:rPr>
                <w:sz w:val="24"/>
              </w:rPr>
              <w:t>17.39</w:t>
            </w:r>
          </w:p>
        </w:tc>
        <w:tc>
          <w:tcPr>
            <w:tcW w:w="979" w:type="dxa"/>
          </w:tcPr>
          <w:p>
            <w:pPr>
              <w:pStyle w:val="TableParagraph"/>
              <w:spacing w:before="30"/>
              <w:ind w:right="90"/>
              <w:rPr>
                <w:sz w:val="24"/>
              </w:rPr>
            </w:pPr>
            <w:r>
              <w:rPr>
                <w:sz w:val="24"/>
              </w:rPr>
              <w:t>16.24</w:t>
            </w:r>
          </w:p>
        </w:tc>
        <w:tc>
          <w:tcPr>
            <w:tcW w:w="979" w:type="dxa"/>
          </w:tcPr>
          <w:p>
            <w:pPr>
              <w:pStyle w:val="TableParagraph"/>
              <w:spacing w:before="30"/>
              <w:ind w:right="85"/>
              <w:rPr>
                <w:sz w:val="24"/>
              </w:rPr>
            </w:pPr>
            <w:r>
              <w:rPr>
                <w:sz w:val="24"/>
              </w:rPr>
              <w:t>11.86</w:t>
            </w:r>
          </w:p>
        </w:tc>
        <w:tc>
          <w:tcPr>
            <w:tcW w:w="979" w:type="dxa"/>
          </w:tcPr>
          <w:p>
            <w:pPr>
              <w:pStyle w:val="TableParagraph"/>
              <w:spacing w:before="30"/>
              <w:ind w:right="85"/>
              <w:rPr>
                <w:sz w:val="24"/>
              </w:rPr>
            </w:pPr>
            <w:r>
              <w:rPr>
                <w:sz w:val="24"/>
              </w:rPr>
              <w:t>10.25</w:t>
            </w:r>
          </w:p>
        </w:tc>
        <w:tc>
          <w:tcPr>
            <w:tcW w:w="912" w:type="dxa"/>
          </w:tcPr>
          <w:p>
            <w:pPr>
              <w:pStyle w:val="TableParagraph"/>
              <w:spacing w:before="30"/>
              <w:ind w:right="85"/>
              <w:rPr>
                <w:sz w:val="24"/>
              </w:rPr>
            </w:pPr>
            <w:r>
              <w:rPr>
                <w:sz w:val="24"/>
              </w:rPr>
              <w:t>3.36</w:t>
            </w:r>
          </w:p>
        </w:tc>
        <w:tc>
          <w:tcPr>
            <w:tcW w:w="912" w:type="dxa"/>
          </w:tcPr>
          <w:p>
            <w:pPr>
              <w:pStyle w:val="TableParagraph"/>
              <w:spacing w:before="30"/>
              <w:ind w:right="84"/>
              <w:rPr>
                <w:sz w:val="24"/>
              </w:rPr>
            </w:pPr>
            <w:r>
              <w:rPr>
                <w:sz w:val="24"/>
              </w:rPr>
              <w:t>6.03</w:t>
            </w:r>
          </w:p>
        </w:tc>
      </w:tr>
      <w:tr>
        <w:trPr>
          <w:trHeight w:val="317" w:hRule="atLeast"/>
        </w:trPr>
        <w:tc>
          <w:tcPr>
            <w:tcW w:w="965" w:type="dxa"/>
          </w:tcPr>
          <w:p>
            <w:pPr>
              <w:pStyle w:val="TableParagraph"/>
              <w:spacing w:before="30"/>
              <w:ind w:right="98"/>
              <w:rPr>
                <w:sz w:val="24"/>
              </w:rPr>
            </w:pPr>
            <w:r>
              <w:rPr>
                <w:sz w:val="24"/>
              </w:rPr>
              <w:t>5</w:t>
            </w:r>
          </w:p>
        </w:tc>
        <w:tc>
          <w:tcPr>
            <w:tcW w:w="1305" w:type="dxa"/>
          </w:tcPr>
          <w:p>
            <w:pPr>
              <w:pStyle w:val="TableParagraph"/>
              <w:spacing w:before="30"/>
              <w:ind w:left="105"/>
              <w:jc w:val="left"/>
              <w:rPr>
                <w:sz w:val="24"/>
              </w:rPr>
            </w:pPr>
            <w:r>
              <w:rPr>
                <w:sz w:val="24"/>
              </w:rPr>
              <w:t>WTON</w:t>
            </w:r>
          </w:p>
        </w:tc>
        <w:tc>
          <w:tcPr>
            <w:tcW w:w="979" w:type="dxa"/>
          </w:tcPr>
          <w:p>
            <w:pPr>
              <w:pStyle w:val="TableParagraph"/>
              <w:spacing w:before="30"/>
              <w:ind w:right="87"/>
              <w:rPr>
                <w:sz w:val="24"/>
              </w:rPr>
            </w:pPr>
            <w:r>
              <w:rPr>
                <w:sz w:val="24"/>
              </w:rPr>
              <w:t>3.04</w:t>
            </w:r>
          </w:p>
        </w:tc>
        <w:tc>
          <w:tcPr>
            <w:tcW w:w="983" w:type="dxa"/>
          </w:tcPr>
          <w:p>
            <w:pPr>
              <w:pStyle w:val="TableParagraph"/>
              <w:spacing w:before="30"/>
              <w:ind w:right="91"/>
              <w:rPr>
                <w:sz w:val="24"/>
              </w:rPr>
            </w:pPr>
            <w:r>
              <w:rPr>
                <w:sz w:val="24"/>
              </w:rPr>
              <w:t>4.19</w:t>
            </w:r>
          </w:p>
        </w:tc>
        <w:tc>
          <w:tcPr>
            <w:tcW w:w="979" w:type="dxa"/>
          </w:tcPr>
          <w:p>
            <w:pPr>
              <w:pStyle w:val="TableParagraph"/>
              <w:spacing w:before="30"/>
              <w:ind w:right="90"/>
              <w:rPr>
                <w:sz w:val="24"/>
              </w:rPr>
            </w:pPr>
            <w:r>
              <w:rPr>
                <w:sz w:val="24"/>
              </w:rPr>
              <w:t>8.51</w:t>
            </w:r>
          </w:p>
        </w:tc>
        <w:tc>
          <w:tcPr>
            <w:tcW w:w="979" w:type="dxa"/>
          </w:tcPr>
          <w:p>
            <w:pPr>
              <w:pStyle w:val="TableParagraph"/>
              <w:spacing w:before="30"/>
              <w:ind w:right="85"/>
              <w:rPr>
                <w:sz w:val="24"/>
              </w:rPr>
            </w:pPr>
            <w:r>
              <w:rPr>
                <w:sz w:val="24"/>
              </w:rPr>
              <w:t>3.86</w:t>
            </w:r>
          </w:p>
        </w:tc>
        <w:tc>
          <w:tcPr>
            <w:tcW w:w="979" w:type="dxa"/>
          </w:tcPr>
          <w:p>
            <w:pPr>
              <w:pStyle w:val="TableParagraph"/>
              <w:spacing w:before="30"/>
              <w:ind w:right="85"/>
              <w:rPr>
                <w:sz w:val="24"/>
              </w:rPr>
            </w:pPr>
            <w:r>
              <w:rPr>
                <w:sz w:val="24"/>
              </w:rPr>
              <w:t>6.04</w:t>
            </w:r>
          </w:p>
        </w:tc>
        <w:tc>
          <w:tcPr>
            <w:tcW w:w="912" w:type="dxa"/>
          </w:tcPr>
          <w:p>
            <w:pPr>
              <w:pStyle w:val="TableParagraph"/>
              <w:spacing w:before="30"/>
              <w:ind w:right="85"/>
              <w:rPr>
                <w:sz w:val="24"/>
              </w:rPr>
            </w:pPr>
            <w:r>
              <w:rPr>
                <w:sz w:val="24"/>
              </w:rPr>
              <w:t>4.82</w:t>
            </w:r>
          </w:p>
        </w:tc>
        <w:tc>
          <w:tcPr>
            <w:tcW w:w="912" w:type="dxa"/>
          </w:tcPr>
          <w:p>
            <w:pPr>
              <w:pStyle w:val="TableParagraph"/>
              <w:spacing w:before="30"/>
              <w:ind w:right="84"/>
              <w:rPr>
                <w:sz w:val="24"/>
              </w:rPr>
            </w:pPr>
            <w:r>
              <w:rPr>
                <w:sz w:val="24"/>
              </w:rPr>
              <w:t>5.48</w:t>
            </w:r>
          </w:p>
        </w:tc>
      </w:tr>
    </w:tbl>
    <w:p>
      <w:pPr>
        <w:pStyle w:val="BodyText"/>
        <w:rPr>
          <w:sz w:val="20"/>
        </w:rPr>
      </w:pPr>
    </w:p>
    <w:p>
      <w:pPr>
        <w:pStyle w:val="BodyText"/>
        <w:spacing w:before="9"/>
        <w:rPr>
          <w:sz w:val="18"/>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6"/>
        <w:gridCol w:w="1499"/>
        <w:gridCol w:w="1489"/>
        <w:gridCol w:w="1484"/>
        <w:gridCol w:w="1484"/>
        <w:gridCol w:w="1489"/>
        <w:gridCol w:w="1484"/>
        <w:gridCol w:w="1484"/>
        <w:gridCol w:w="1488"/>
      </w:tblGrid>
      <w:tr>
        <w:trPr>
          <w:trHeight w:val="407" w:hRule="atLeast"/>
        </w:trPr>
        <w:tc>
          <w:tcPr>
            <w:tcW w:w="586" w:type="dxa"/>
            <w:vMerge w:val="restart"/>
          </w:tcPr>
          <w:p>
            <w:pPr>
              <w:pStyle w:val="TableParagraph"/>
              <w:spacing w:line="240" w:lineRule="auto" w:before="5"/>
              <w:jc w:val="left"/>
              <w:rPr>
                <w:sz w:val="23"/>
              </w:rPr>
            </w:pPr>
          </w:p>
          <w:p>
            <w:pPr>
              <w:pStyle w:val="TableParagraph"/>
              <w:spacing w:line="240" w:lineRule="auto"/>
              <w:ind w:left="148"/>
              <w:jc w:val="left"/>
              <w:rPr>
                <w:sz w:val="24"/>
              </w:rPr>
            </w:pPr>
            <w:r>
              <w:rPr>
                <w:sz w:val="24"/>
              </w:rPr>
              <w:t>No</w:t>
            </w:r>
          </w:p>
        </w:tc>
        <w:tc>
          <w:tcPr>
            <w:tcW w:w="1499" w:type="dxa"/>
            <w:vMerge w:val="restart"/>
          </w:tcPr>
          <w:p>
            <w:pPr>
              <w:pStyle w:val="TableParagraph"/>
              <w:spacing w:line="240" w:lineRule="auto" w:before="131"/>
              <w:ind w:left="201" w:right="175" w:firstLine="288"/>
              <w:jc w:val="left"/>
              <w:rPr>
                <w:sz w:val="24"/>
              </w:rPr>
            </w:pPr>
            <w:r>
              <w:rPr>
                <w:sz w:val="24"/>
              </w:rPr>
              <w:t>Kode Perusahaan</w:t>
            </w:r>
          </w:p>
        </w:tc>
        <w:tc>
          <w:tcPr>
            <w:tcW w:w="10402" w:type="dxa"/>
            <w:gridSpan w:val="7"/>
          </w:tcPr>
          <w:p>
            <w:pPr>
              <w:pStyle w:val="TableParagraph"/>
              <w:spacing w:line="261" w:lineRule="exact" w:before="126"/>
              <w:ind w:left="4821" w:right="4810"/>
              <w:jc w:val="center"/>
              <w:rPr>
                <w:sz w:val="24"/>
              </w:rPr>
            </w:pPr>
            <w:r>
              <w:rPr>
                <w:sz w:val="24"/>
              </w:rPr>
              <w:t>Ekuitas</w:t>
            </w:r>
          </w:p>
        </w:tc>
      </w:tr>
      <w:tr>
        <w:trPr>
          <w:trHeight w:val="408" w:hRule="atLeast"/>
        </w:trPr>
        <w:tc>
          <w:tcPr>
            <w:tcW w:w="586" w:type="dxa"/>
            <w:vMerge/>
            <w:tcBorders>
              <w:top w:val="nil"/>
            </w:tcBorders>
          </w:tcPr>
          <w:p>
            <w:pPr>
              <w:rPr>
                <w:sz w:val="2"/>
                <w:szCs w:val="2"/>
              </w:rPr>
            </w:pPr>
          </w:p>
        </w:tc>
        <w:tc>
          <w:tcPr>
            <w:tcW w:w="1499" w:type="dxa"/>
            <w:vMerge/>
            <w:tcBorders>
              <w:top w:val="nil"/>
            </w:tcBorders>
          </w:tcPr>
          <w:p>
            <w:pPr>
              <w:rPr>
                <w:sz w:val="2"/>
                <w:szCs w:val="2"/>
              </w:rPr>
            </w:pPr>
          </w:p>
        </w:tc>
        <w:tc>
          <w:tcPr>
            <w:tcW w:w="1489" w:type="dxa"/>
          </w:tcPr>
          <w:p>
            <w:pPr>
              <w:pStyle w:val="TableParagraph"/>
              <w:spacing w:line="261" w:lineRule="exact" w:before="126"/>
              <w:ind w:right="100"/>
              <w:rPr>
                <w:sz w:val="24"/>
              </w:rPr>
            </w:pPr>
            <w:r>
              <w:rPr>
                <w:sz w:val="24"/>
              </w:rPr>
              <w:t>2012</w:t>
            </w:r>
          </w:p>
        </w:tc>
        <w:tc>
          <w:tcPr>
            <w:tcW w:w="1484" w:type="dxa"/>
          </w:tcPr>
          <w:p>
            <w:pPr>
              <w:pStyle w:val="TableParagraph"/>
              <w:spacing w:line="261" w:lineRule="exact" w:before="126"/>
              <w:ind w:right="100"/>
              <w:rPr>
                <w:sz w:val="24"/>
              </w:rPr>
            </w:pPr>
            <w:r>
              <w:rPr>
                <w:sz w:val="24"/>
              </w:rPr>
              <w:t>2013</w:t>
            </w:r>
          </w:p>
        </w:tc>
        <w:tc>
          <w:tcPr>
            <w:tcW w:w="1484" w:type="dxa"/>
          </w:tcPr>
          <w:p>
            <w:pPr>
              <w:pStyle w:val="TableParagraph"/>
              <w:spacing w:line="261" w:lineRule="exact" w:before="126"/>
              <w:ind w:right="96"/>
              <w:rPr>
                <w:sz w:val="24"/>
              </w:rPr>
            </w:pPr>
            <w:r>
              <w:rPr>
                <w:sz w:val="24"/>
              </w:rPr>
              <w:t>2014</w:t>
            </w:r>
          </w:p>
        </w:tc>
        <w:tc>
          <w:tcPr>
            <w:tcW w:w="1489" w:type="dxa"/>
          </w:tcPr>
          <w:p>
            <w:pPr>
              <w:pStyle w:val="TableParagraph"/>
              <w:spacing w:line="261" w:lineRule="exact" w:before="126"/>
              <w:ind w:right="102"/>
              <w:rPr>
                <w:sz w:val="24"/>
              </w:rPr>
            </w:pPr>
            <w:r>
              <w:rPr>
                <w:sz w:val="24"/>
              </w:rPr>
              <w:t>2015</w:t>
            </w:r>
          </w:p>
        </w:tc>
        <w:tc>
          <w:tcPr>
            <w:tcW w:w="1484" w:type="dxa"/>
          </w:tcPr>
          <w:p>
            <w:pPr>
              <w:pStyle w:val="TableParagraph"/>
              <w:spacing w:line="261" w:lineRule="exact" w:before="126"/>
              <w:ind w:right="97"/>
              <w:rPr>
                <w:sz w:val="24"/>
              </w:rPr>
            </w:pPr>
            <w:r>
              <w:rPr>
                <w:sz w:val="24"/>
              </w:rPr>
              <w:t>2016</w:t>
            </w:r>
          </w:p>
        </w:tc>
        <w:tc>
          <w:tcPr>
            <w:tcW w:w="1484" w:type="dxa"/>
          </w:tcPr>
          <w:p>
            <w:pPr>
              <w:pStyle w:val="TableParagraph"/>
              <w:spacing w:line="261" w:lineRule="exact" w:before="126"/>
              <w:ind w:right="97"/>
              <w:rPr>
                <w:sz w:val="24"/>
              </w:rPr>
            </w:pPr>
            <w:r>
              <w:rPr>
                <w:sz w:val="24"/>
              </w:rPr>
              <w:t>2017</w:t>
            </w:r>
          </w:p>
        </w:tc>
        <w:tc>
          <w:tcPr>
            <w:tcW w:w="1488" w:type="dxa"/>
          </w:tcPr>
          <w:p>
            <w:pPr>
              <w:pStyle w:val="TableParagraph"/>
              <w:spacing w:line="261" w:lineRule="exact" w:before="126"/>
              <w:ind w:right="97"/>
              <w:rPr>
                <w:sz w:val="24"/>
              </w:rPr>
            </w:pPr>
            <w:r>
              <w:rPr>
                <w:sz w:val="24"/>
              </w:rPr>
              <w:t>2018</w:t>
            </w:r>
          </w:p>
        </w:tc>
      </w:tr>
      <w:tr>
        <w:trPr>
          <w:trHeight w:val="412" w:hRule="atLeast"/>
        </w:trPr>
        <w:tc>
          <w:tcPr>
            <w:tcW w:w="586" w:type="dxa"/>
          </w:tcPr>
          <w:p>
            <w:pPr>
              <w:pStyle w:val="TableParagraph"/>
              <w:spacing w:before="126"/>
              <w:ind w:right="94"/>
              <w:rPr>
                <w:sz w:val="24"/>
              </w:rPr>
            </w:pPr>
            <w:r>
              <w:rPr>
                <w:sz w:val="24"/>
              </w:rPr>
              <w:t>1</w:t>
            </w:r>
          </w:p>
        </w:tc>
        <w:tc>
          <w:tcPr>
            <w:tcW w:w="1499" w:type="dxa"/>
          </w:tcPr>
          <w:p>
            <w:pPr>
              <w:pStyle w:val="TableParagraph"/>
              <w:spacing w:before="126"/>
              <w:ind w:left="109"/>
              <w:jc w:val="left"/>
              <w:rPr>
                <w:sz w:val="24"/>
              </w:rPr>
            </w:pPr>
            <w:r>
              <w:rPr>
                <w:sz w:val="24"/>
              </w:rPr>
              <w:t>INTP</w:t>
            </w:r>
          </w:p>
        </w:tc>
        <w:tc>
          <w:tcPr>
            <w:tcW w:w="1489" w:type="dxa"/>
          </w:tcPr>
          <w:p>
            <w:pPr>
              <w:pStyle w:val="TableParagraph"/>
              <w:spacing w:before="126"/>
              <w:ind w:right="96"/>
              <w:rPr>
                <w:sz w:val="24"/>
              </w:rPr>
            </w:pPr>
            <w:r>
              <w:rPr>
                <w:sz w:val="24"/>
              </w:rPr>
              <w:t>19,418,738</w:t>
            </w:r>
          </w:p>
        </w:tc>
        <w:tc>
          <w:tcPr>
            <w:tcW w:w="1484" w:type="dxa"/>
          </w:tcPr>
          <w:p>
            <w:pPr>
              <w:pStyle w:val="TableParagraph"/>
              <w:spacing w:before="126"/>
              <w:ind w:right="96"/>
              <w:rPr>
                <w:sz w:val="24"/>
              </w:rPr>
            </w:pPr>
            <w:r>
              <w:rPr>
                <w:sz w:val="24"/>
              </w:rPr>
              <w:t>22,977,687</w:t>
            </w:r>
          </w:p>
        </w:tc>
        <w:tc>
          <w:tcPr>
            <w:tcW w:w="1484" w:type="dxa"/>
          </w:tcPr>
          <w:p>
            <w:pPr>
              <w:pStyle w:val="TableParagraph"/>
              <w:spacing w:before="126"/>
              <w:ind w:right="92"/>
              <w:rPr>
                <w:sz w:val="24"/>
              </w:rPr>
            </w:pPr>
            <w:r>
              <w:rPr>
                <w:sz w:val="24"/>
              </w:rPr>
              <w:t>24,784,801</w:t>
            </w:r>
          </w:p>
        </w:tc>
        <w:tc>
          <w:tcPr>
            <w:tcW w:w="1489" w:type="dxa"/>
          </w:tcPr>
          <w:p>
            <w:pPr>
              <w:pStyle w:val="TableParagraph"/>
              <w:spacing w:before="126"/>
              <w:ind w:right="97"/>
              <w:rPr>
                <w:sz w:val="24"/>
              </w:rPr>
            </w:pPr>
            <w:r>
              <w:rPr>
                <w:sz w:val="24"/>
              </w:rPr>
              <w:t>23,865,950</w:t>
            </w:r>
          </w:p>
        </w:tc>
        <w:tc>
          <w:tcPr>
            <w:tcW w:w="1484" w:type="dxa"/>
          </w:tcPr>
          <w:p>
            <w:pPr>
              <w:pStyle w:val="TableParagraph"/>
              <w:spacing w:before="126"/>
              <w:ind w:right="93"/>
              <w:rPr>
                <w:sz w:val="24"/>
              </w:rPr>
            </w:pPr>
            <w:r>
              <w:rPr>
                <w:sz w:val="24"/>
              </w:rPr>
              <w:t>26,138,703</w:t>
            </w:r>
          </w:p>
        </w:tc>
        <w:tc>
          <w:tcPr>
            <w:tcW w:w="1484" w:type="dxa"/>
          </w:tcPr>
          <w:p>
            <w:pPr>
              <w:pStyle w:val="TableParagraph"/>
              <w:spacing w:before="126"/>
              <w:ind w:right="93"/>
              <w:rPr>
                <w:sz w:val="24"/>
              </w:rPr>
            </w:pPr>
            <w:r>
              <w:rPr>
                <w:sz w:val="24"/>
              </w:rPr>
              <w:t>24,556,507</w:t>
            </w:r>
          </w:p>
        </w:tc>
        <w:tc>
          <w:tcPr>
            <w:tcW w:w="1488" w:type="dxa"/>
          </w:tcPr>
          <w:p>
            <w:pPr>
              <w:pStyle w:val="TableParagraph"/>
              <w:spacing w:before="126"/>
              <w:ind w:right="93"/>
              <w:rPr>
                <w:sz w:val="24"/>
              </w:rPr>
            </w:pPr>
            <w:r>
              <w:rPr>
                <w:sz w:val="24"/>
              </w:rPr>
              <w:t>23,221,589</w:t>
            </w:r>
          </w:p>
        </w:tc>
      </w:tr>
      <w:tr>
        <w:trPr>
          <w:trHeight w:val="407" w:hRule="atLeast"/>
        </w:trPr>
        <w:tc>
          <w:tcPr>
            <w:tcW w:w="586" w:type="dxa"/>
          </w:tcPr>
          <w:p>
            <w:pPr>
              <w:pStyle w:val="TableParagraph"/>
              <w:spacing w:before="121"/>
              <w:ind w:right="94"/>
              <w:rPr>
                <w:sz w:val="24"/>
              </w:rPr>
            </w:pPr>
            <w:r>
              <w:rPr>
                <w:sz w:val="24"/>
              </w:rPr>
              <w:t>2</w:t>
            </w:r>
          </w:p>
        </w:tc>
        <w:tc>
          <w:tcPr>
            <w:tcW w:w="1499" w:type="dxa"/>
          </w:tcPr>
          <w:p>
            <w:pPr>
              <w:pStyle w:val="TableParagraph"/>
              <w:spacing w:before="121"/>
              <w:ind w:left="109"/>
              <w:jc w:val="left"/>
              <w:rPr>
                <w:sz w:val="24"/>
              </w:rPr>
            </w:pPr>
            <w:r>
              <w:rPr>
                <w:sz w:val="24"/>
              </w:rPr>
              <w:t>SMBR</w:t>
            </w:r>
          </w:p>
        </w:tc>
        <w:tc>
          <w:tcPr>
            <w:tcW w:w="1489" w:type="dxa"/>
          </w:tcPr>
          <w:p>
            <w:pPr>
              <w:pStyle w:val="TableParagraph"/>
              <w:spacing w:before="121"/>
              <w:ind w:right="95"/>
              <w:rPr>
                <w:sz w:val="24"/>
              </w:rPr>
            </w:pPr>
            <w:r>
              <w:rPr>
                <w:sz w:val="24"/>
              </w:rPr>
              <w:t>954,138</w:t>
            </w:r>
          </w:p>
        </w:tc>
        <w:tc>
          <w:tcPr>
            <w:tcW w:w="1484" w:type="dxa"/>
          </w:tcPr>
          <w:p>
            <w:pPr>
              <w:pStyle w:val="TableParagraph"/>
              <w:spacing w:before="121"/>
              <w:ind w:right="96"/>
              <w:rPr>
                <w:sz w:val="24"/>
              </w:rPr>
            </w:pPr>
            <w:r>
              <w:rPr>
                <w:sz w:val="24"/>
              </w:rPr>
              <w:t>2,466,956</w:t>
            </w:r>
          </w:p>
        </w:tc>
        <w:tc>
          <w:tcPr>
            <w:tcW w:w="1484" w:type="dxa"/>
          </w:tcPr>
          <w:p>
            <w:pPr>
              <w:pStyle w:val="TableParagraph"/>
              <w:spacing w:before="121"/>
              <w:ind w:right="92"/>
              <w:rPr>
                <w:sz w:val="24"/>
              </w:rPr>
            </w:pPr>
            <w:r>
              <w:rPr>
                <w:sz w:val="24"/>
              </w:rPr>
              <w:t>2,717,247</w:t>
            </w:r>
          </w:p>
        </w:tc>
        <w:tc>
          <w:tcPr>
            <w:tcW w:w="1489" w:type="dxa"/>
          </w:tcPr>
          <w:p>
            <w:pPr>
              <w:pStyle w:val="TableParagraph"/>
              <w:spacing w:before="121"/>
              <w:ind w:right="97"/>
              <w:rPr>
                <w:sz w:val="24"/>
              </w:rPr>
            </w:pPr>
            <w:r>
              <w:rPr>
                <w:sz w:val="24"/>
              </w:rPr>
              <w:t>2,949,352</w:t>
            </w:r>
          </w:p>
        </w:tc>
        <w:tc>
          <w:tcPr>
            <w:tcW w:w="1484" w:type="dxa"/>
          </w:tcPr>
          <w:p>
            <w:pPr>
              <w:pStyle w:val="TableParagraph"/>
              <w:spacing w:before="121"/>
              <w:ind w:right="93"/>
              <w:rPr>
                <w:sz w:val="24"/>
              </w:rPr>
            </w:pPr>
            <w:r>
              <w:rPr>
                <w:sz w:val="24"/>
              </w:rPr>
              <w:t>3,120,757</w:t>
            </w:r>
          </w:p>
        </w:tc>
        <w:tc>
          <w:tcPr>
            <w:tcW w:w="1484" w:type="dxa"/>
          </w:tcPr>
          <w:p>
            <w:pPr>
              <w:pStyle w:val="TableParagraph"/>
              <w:spacing w:before="121"/>
              <w:ind w:right="93"/>
              <w:rPr>
                <w:sz w:val="24"/>
              </w:rPr>
            </w:pPr>
            <w:r>
              <w:rPr>
                <w:sz w:val="24"/>
              </w:rPr>
              <w:t>3,412,859</w:t>
            </w:r>
          </w:p>
        </w:tc>
        <w:tc>
          <w:tcPr>
            <w:tcW w:w="1488" w:type="dxa"/>
          </w:tcPr>
          <w:p>
            <w:pPr>
              <w:pStyle w:val="TableParagraph"/>
              <w:spacing w:before="121"/>
              <w:ind w:right="93"/>
              <w:rPr>
                <w:sz w:val="24"/>
              </w:rPr>
            </w:pPr>
            <w:r>
              <w:rPr>
                <w:sz w:val="24"/>
              </w:rPr>
              <w:t>3,473,671</w:t>
            </w:r>
          </w:p>
        </w:tc>
      </w:tr>
      <w:tr>
        <w:trPr>
          <w:trHeight w:val="408" w:hRule="atLeast"/>
        </w:trPr>
        <w:tc>
          <w:tcPr>
            <w:tcW w:w="586" w:type="dxa"/>
          </w:tcPr>
          <w:p>
            <w:pPr>
              <w:pStyle w:val="TableParagraph"/>
              <w:spacing w:before="121"/>
              <w:ind w:right="94"/>
              <w:rPr>
                <w:sz w:val="24"/>
              </w:rPr>
            </w:pPr>
            <w:r>
              <w:rPr>
                <w:sz w:val="24"/>
              </w:rPr>
              <w:t>3</w:t>
            </w:r>
          </w:p>
        </w:tc>
        <w:tc>
          <w:tcPr>
            <w:tcW w:w="1499" w:type="dxa"/>
          </w:tcPr>
          <w:p>
            <w:pPr>
              <w:pStyle w:val="TableParagraph"/>
              <w:spacing w:before="121"/>
              <w:ind w:left="109"/>
              <w:jc w:val="left"/>
              <w:rPr>
                <w:sz w:val="24"/>
              </w:rPr>
            </w:pPr>
            <w:r>
              <w:rPr>
                <w:sz w:val="24"/>
              </w:rPr>
              <w:t>SMCB</w:t>
            </w:r>
          </w:p>
        </w:tc>
        <w:tc>
          <w:tcPr>
            <w:tcW w:w="1489" w:type="dxa"/>
          </w:tcPr>
          <w:p>
            <w:pPr>
              <w:pStyle w:val="TableParagraph"/>
              <w:spacing w:before="121"/>
              <w:ind w:right="96"/>
              <w:rPr>
                <w:sz w:val="24"/>
              </w:rPr>
            </w:pPr>
            <w:r>
              <w:rPr>
                <w:sz w:val="24"/>
              </w:rPr>
              <w:t>8,418,056</w:t>
            </w:r>
          </w:p>
        </w:tc>
        <w:tc>
          <w:tcPr>
            <w:tcW w:w="1484" w:type="dxa"/>
          </w:tcPr>
          <w:p>
            <w:pPr>
              <w:pStyle w:val="TableParagraph"/>
              <w:spacing w:before="121"/>
              <w:ind w:right="96"/>
              <w:rPr>
                <w:sz w:val="24"/>
              </w:rPr>
            </w:pPr>
            <w:r>
              <w:rPr>
                <w:sz w:val="24"/>
              </w:rPr>
              <w:t>9,772,947</w:t>
            </w:r>
          </w:p>
        </w:tc>
        <w:tc>
          <w:tcPr>
            <w:tcW w:w="1484" w:type="dxa"/>
          </w:tcPr>
          <w:p>
            <w:pPr>
              <w:pStyle w:val="TableParagraph"/>
              <w:spacing w:before="121"/>
              <w:ind w:right="92"/>
              <w:rPr>
                <w:sz w:val="24"/>
              </w:rPr>
            </w:pPr>
            <w:r>
              <w:rPr>
                <w:sz w:val="24"/>
              </w:rPr>
              <w:t>8,758,592</w:t>
            </w:r>
          </w:p>
        </w:tc>
        <w:tc>
          <w:tcPr>
            <w:tcW w:w="1489" w:type="dxa"/>
          </w:tcPr>
          <w:p>
            <w:pPr>
              <w:pStyle w:val="TableParagraph"/>
              <w:spacing w:before="121"/>
              <w:ind w:right="97"/>
              <w:rPr>
                <w:sz w:val="24"/>
              </w:rPr>
            </w:pPr>
            <w:r>
              <w:rPr>
                <w:sz w:val="24"/>
              </w:rPr>
              <w:t>8,449,857</w:t>
            </w:r>
          </w:p>
        </w:tc>
        <w:tc>
          <w:tcPr>
            <w:tcW w:w="1484" w:type="dxa"/>
          </w:tcPr>
          <w:p>
            <w:pPr>
              <w:pStyle w:val="TableParagraph"/>
              <w:spacing w:before="121"/>
              <w:ind w:right="93"/>
              <w:rPr>
                <w:sz w:val="24"/>
              </w:rPr>
            </w:pPr>
            <w:r>
              <w:rPr>
                <w:sz w:val="24"/>
              </w:rPr>
              <w:t>8,060,595</w:t>
            </w:r>
          </w:p>
        </w:tc>
        <w:tc>
          <w:tcPr>
            <w:tcW w:w="1484" w:type="dxa"/>
          </w:tcPr>
          <w:p>
            <w:pPr>
              <w:pStyle w:val="TableParagraph"/>
              <w:spacing w:before="121"/>
              <w:ind w:right="93"/>
              <w:rPr>
                <w:sz w:val="24"/>
              </w:rPr>
            </w:pPr>
            <w:r>
              <w:rPr>
                <w:sz w:val="24"/>
              </w:rPr>
              <w:t>7,196,951</w:t>
            </w:r>
          </w:p>
        </w:tc>
        <w:tc>
          <w:tcPr>
            <w:tcW w:w="1488" w:type="dxa"/>
          </w:tcPr>
          <w:p>
            <w:pPr>
              <w:pStyle w:val="TableParagraph"/>
              <w:spacing w:before="121"/>
              <w:ind w:right="93"/>
              <w:rPr>
                <w:sz w:val="24"/>
              </w:rPr>
            </w:pPr>
            <w:r>
              <w:rPr>
                <w:sz w:val="24"/>
              </w:rPr>
              <w:t>6,416,350</w:t>
            </w:r>
          </w:p>
        </w:tc>
      </w:tr>
      <w:tr>
        <w:trPr>
          <w:trHeight w:val="407" w:hRule="atLeast"/>
        </w:trPr>
        <w:tc>
          <w:tcPr>
            <w:tcW w:w="586" w:type="dxa"/>
          </w:tcPr>
          <w:p>
            <w:pPr>
              <w:pStyle w:val="TableParagraph"/>
              <w:spacing w:before="121"/>
              <w:ind w:right="94"/>
              <w:rPr>
                <w:sz w:val="24"/>
              </w:rPr>
            </w:pPr>
            <w:r>
              <w:rPr>
                <w:sz w:val="24"/>
              </w:rPr>
              <w:t>4</w:t>
            </w:r>
          </w:p>
        </w:tc>
        <w:tc>
          <w:tcPr>
            <w:tcW w:w="1499" w:type="dxa"/>
          </w:tcPr>
          <w:p>
            <w:pPr>
              <w:pStyle w:val="TableParagraph"/>
              <w:spacing w:before="121"/>
              <w:ind w:left="109"/>
              <w:jc w:val="left"/>
              <w:rPr>
                <w:sz w:val="24"/>
              </w:rPr>
            </w:pPr>
            <w:r>
              <w:rPr>
                <w:sz w:val="24"/>
              </w:rPr>
              <w:t>SMGR</w:t>
            </w:r>
          </w:p>
        </w:tc>
        <w:tc>
          <w:tcPr>
            <w:tcW w:w="1489" w:type="dxa"/>
          </w:tcPr>
          <w:p>
            <w:pPr>
              <w:pStyle w:val="TableParagraph"/>
              <w:spacing w:before="121"/>
              <w:ind w:right="96"/>
              <w:rPr>
                <w:sz w:val="24"/>
              </w:rPr>
            </w:pPr>
            <w:r>
              <w:rPr>
                <w:sz w:val="24"/>
              </w:rPr>
              <w:t>18,164,854</w:t>
            </w:r>
          </w:p>
        </w:tc>
        <w:tc>
          <w:tcPr>
            <w:tcW w:w="1484" w:type="dxa"/>
          </w:tcPr>
          <w:p>
            <w:pPr>
              <w:pStyle w:val="TableParagraph"/>
              <w:spacing w:before="121"/>
              <w:ind w:right="96"/>
              <w:rPr>
                <w:sz w:val="24"/>
              </w:rPr>
            </w:pPr>
            <w:r>
              <w:rPr>
                <w:sz w:val="24"/>
              </w:rPr>
              <w:t>21,803,975</w:t>
            </w:r>
          </w:p>
        </w:tc>
        <w:tc>
          <w:tcPr>
            <w:tcW w:w="1484" w:type="dxa"/>
          </w:tcPr>
          <w:p>
            <w:pPr>
              <w:pStyle w:val="TableParagraph"/>
              <w:spacing w:before="121"/>
              <w:ind w:right="92"/>
              <w:rPr>
                <w:sz w:val="24"/>
              </w:rPr>
            </w:pPr>
            <w:r>
              <w:rPr>
                <w:sz w:val="24"/>
              </w:rPr>
              <w:t>25,002,451</w:t>
            </w:r>
          </w:p>
        </w:tc>
        <w:tc>
          <w:tcPr>
            <w:tcW w:w="1489" w:type="dxa"/>
          </w:tcPr>
          <w:p>
            <w:pPr>
              <w:pStyle w:val="TableParagraph"/>
              <w:spacing w:before="121"/>
              <w:ind w:right="97"/>
              <w:rPr>
                <w:sz w:val="24"/>
              </w:rPr>
            </w:pPr>
            <w:r>
              <w:rPr>
                <w:sz w:val="24"/>
              </w:rPr>
              <w:t>27,440,798</w:t>
            </w:r>
          </w:p>
        </w:tc>
        <w:tc>
          <w:tcPr>
            <w:tcW w:w="1484" w:type="dxa"/>
          </w:tcPr>
          <w:p>
            <w:pPr>
              <w:pStyle w:val="TableParagraph"/>
              <w:spacing w:before="121"/>
              <w:ind w:right="93"/>
              <w:rPr>
                <w:sz w:val="24"/>
              </w:rPr>
            </w:pPr>
            <w:r>
              <w:rPr>
                <w:sz w:val="24"/>
              </w:rPr>
              <w:t>30,574,391</w:t>
            </w:r>
          </w:p>
        </w:tc>
        <w:tc>
          <w:tcPr>
            <w:tcW w:w="1484" w:type="dxa"/>
          </w:tcPr>
          <w:p>
            <w:pPr>
              <w:pStyle w:val="TableParagraph"/>
              <w:spacing w:before="121"/>
              <w:ind w:right="93"/>
              <w:rPr>
                <w:sz w:val="24"/>
              </w:rPr>
            </w:pPr>
            <w:r>
              <w:rPr>
                <w:sz w:val="24"/>
              </w:rPr>
              <w:t>30,046,032</w:t>
            </w:r>
          </w:p>
        </w:tc>
        <w:tc>
          <w:tcPr>
            <w:tcW w:w="1488" w:type="dxa"/>
          </w:tcPr>
          <w:p>
            <w:pPr>
              <w:pStyle w:val="TableParagraph"/>
              <w:spacing w:before="121"/>
              <w:ind w:right="93"/>
              <w:rPr>
                <w:sz w:val="24"/>
              </w:rPr>
            </w:pPr>
            <w:r>
              <w:rPr>
                <w:sz w:val="24"/>
              </w:rPr>
              <w:t>32,736,295</w:t>
            </w:r>
          </w:p>
        </w:tc>
      </w:tr>
      <w:tr>
        <w:trPr>
          <w:trHeight w:val="407" w:hRule="atLeast"/>
        </w:trPr>
        <w:tc>
          <w:tcPr>
            <w:tcW w:w="586" w:type="dxa"/>
          </w:tcPr>
          <w:p>
            <w:pPr>
              <w:pStyle w:val="TableParagraph"/>
              <w:spacing w:before="121"/>
              <w:ind w:right="94"/>
              <w:rPr>
                <w:sz w:val="24"/>
              </w:rPr>
            </w:pPr>
            <w:r>
              <w:rPr>
                <w:sz w:val="24"/>
              </w:rPr>
              <w:t>5</w:t>
            </w:r>
          </w:p>
        </w:tc>
        <w:tc>
          <w:tcPr>
            <w:tcW w:w="1499" w:type="dxa"/>
          </w:tcPr>
          <w:p>
            <w:pPr>
              <w:pStyle w:val="TableParagraph"/>
              <w:spacing w:before="121"/>
              <w:ind w:left="109"/>
              <w:jc w:val="left"/>
              <w:rPr>
                <w:sz w:val="24"/>
              </w:rPr>
            </w:pPr>
            <w:r>
              <w:rPr>
                <w:sz w:val="24"/>
              </w:rPr>
              <w:t>WTON</w:t>
            </w:r>
          </w:p>
        </w:tc>
        <w:tc>
          <w:tcPr>
            <w:tcW w:w="1489" w:type="dxa"/>
          </w:tcPr>
          <w:p>
            <w:pPr>
              <w:pStyle w:val="TableParagraph"/>
              <w:spacing w:before="121"/>
              <w:ind w:right="96"/>
              <w:rPr>
                <w:sz w:val="24"/>
              </w:rPr>
            </w:pPr>
            <w:r>
              <w:rPr>
                <w:sz w:val="24"/>
              </w:rPr>
              <w:t>2,007,075</w:t>
            </w:r>
          </w:p>
        </w:tc>
        <w:tc>
          <w:tcPr>
            <w:tcW w:w="1484" w:type="dxa"/>
          </w:tcPr>
          <w:p>
            <w:pPr>
              <w:pStyle w:val="TableParagraph"/>
              <w:spacing w:before="121"/>
              <w:ind w:right="96"/>
              <w:rPr>
                <w:sz w:val="24"/>
              </w:rPr>
            </w:pPr>
            <w:r>
              <w:rPr>
                <w:sz w:val="24"/>
              </w:rPr>
              <w:t>2,383,437</w:t>
            </w:r>
          </w:p>
        </w:tc>
        <w:tc>
          <w:tcPr>
            <w:tcW w:w="1484" w:type="dxa"/>
          </w:tcPr>
          <w:p>
            <w:pPr>
              <w:pStyle w:val="TableParagraph"/>
              <w:spacing w:before="121"/>
              <w:ind w:right="92"/>
              <w:rPr>
                <w:sz w:val="24"/>
              </w:rPr>
            </w:pPr>
            <w:r>
              <w:rPr>
                <w:sz w:val="24"/>
              </w:rPr>
              <w:t>2,202,591</w:t>
            </w:r>
          </w:p>
        </w:tc>
        <w:tc>
          <w:tcPr>
            <w:tcW w:w="1489" w:type="dxa"/>
          </w:tcPr>
          <w:p>
            <w:pPr>
              <w:pStyle w:val="TableParagraph"/>
              <w:spacing w:before="121"/>
              <w:ind w:right="97"/>
              <w:rPr>
                <w:sz w:val="24"/>
              </w:rPr>
            </w:pPr>
            <w:r>
              <w:rPr>
                <w:sz w:val="24"/>
              </w:rPr>
              <w:t>2,263,425</w:t>
            </w:r>
          </w:p>
        </w:tc>
        <w:tc>
          <w:tcPr>
            <w:tcW w:w="1484" w:type="dxa"/>
          </w:tcPr>
          <w:p>
            <w:pPr>
              <w:pStyle w:val="TableParagraph"/>
              <w:spacing w:before="121"/>
              <w:ind w:right="93"/>
              <w:rPr>
                <w:sz w:val="24"/>
              </w:rPr>
            </w:pPr>
            <w:r>
              <w:rPr>
                <w:sz w:val="24"/>
              </w:rPr>
              <w:t>2,490,474</w:t>
            </w:r>
          </w:p>
        </w:tc>
        <w:tc>
          <w:tcPr>
            <w:tcW w:w="1484" w:type="dxa"/>
          </w:tcPr>
          <w:p>
            <w:pPr>
              <w:pStyle w:val="TableParagraph"/>
              <w:spacing w:before="121"/>
              <w:ind w:right="93"/>
              <w:rPr>
                <w:sz w:val="24"/>
              </w:rPr>
            </w:pPr>
            <w:r>
              <w:rPr>
                <w:sz w:val="24"/>
              </w:rPr>
              <w:t>2,747,935</w:t>
            </w:r>
          </w:p>
        </w:tc>
        <w:tc>
          <w:tcPr>
            <w:tcW w:w="1488" w:type="dxa"/>
          </w:tcPr>
          <w:p>
            <w:pPr>
              <w:pStyle w:val="TableParagraph"/>
              <w:spacing w:before="121"/>
              <w:ind w:right="93"/>
              <w:rPr>
                <w:sz w:val="24"/>
              </w:rPr>
            </w:pPr>
            <w:r>
              <w:rPr>
                <w:sz w:val="24"/>
              </w:rPr>
              <w:t>3,136,812</w:t>
            </w:r>
          </w:p>
        </w:tc>
      </w:tr>
    </w:tbl>
    <w:p>
      <w:pPr>
        <w:spacing w:after="0"/>
        <w:rPr>
          <w:sz w:val="24"/>
        </w:rPr>
        <w:sectPr>
          <w:footerReference w:type="default" r:id="rId26"/>
          <w:pgSz w:w="16840" w:h="11910" w:orient="landscape"/>
          <w:pgMar w:footer="913" w:header="0" w:top="1100" w:bottom="1100" w:left="1480" w:right="2420"/>
          <w:pgNumType w:star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1305"/>
        <w:gridCol w:w="926"/>
        <w:gridCol w:w="921"/>
        <w:gridCol w:w="922"/>
        <w:gridCol w:w="922"/>
        <w:gridCol w:w="926"/>
        <w:gridCol w:w="1051"/>
        <w:gridCol w:w="1051"/>
      </w:tblGrid>
      <w:tr>
        <w:trPr>
          <w:trHeight w:val="316" w:hRule="atLeast"/>
        </w:trPr>
        <w:tc>
          <w:tcPr>
            <w:tcW w:w="965" w:type="dxa"/>
            <w:vMerge w:val="restart"/>
          </w:tcPr>
          <w:p>
            <w:pPr>
              <w:pStyle w:val="TableParagraph"/>
              <w:spacing w:line="240" w:lineRule="auto" w:before="179"/>
              <w:ind w:left="314" w:right="306"/>
              <w:jc w:val="center"/>
              <w:rPr>
                <w:sz w:val="24"/>
              </w:rPr>
            </w:pPr>
            <w:r>
              <w:rPr>
                <w:sz w:val="24"/>
              </w:rPr>
              <w:t>No</w:t>
            </w:r>
          </w:p>
        </w:tc>
        <w:tc>
          <w:tcPr>
            <w:tcW w:w="1305" w:type="dxa"/>
            <w:vMerge w:val="restart"/>
          </w:tcPr>
          <w:p>
            <w:pPr>
              <w:pStyle w:val="TableParagraph"/>
              <w:spacing w:line="274" w:lineRule="exact" w:before="88"/>
              <w:ind w:left="105" w:right="77" w:firstLine="288"/>
              <w:jc w:val="left"/>
              <w:rPr>
                <w:sz w:val="24"/>
              </w:rPr>
            </w:pPr>
            <w:r>
              <w:rPr>
                <w:sz w:val="24"/>
              </w:rPr>
              <w:t>Kode Perusahaan</w:t>
            </w:r>
          </w:p>
        </w:tc>
        <w:tc>
          <w:tcPr>
            <w:tcW w:w="6719" w:type="dxa"/>
            <w:gridSpan w:val="7"/>
          </w:tcPr>
          <w:p>
            <w:pPr>
              <w:pStyle w:val="TableParagraph"/>
              <w:spacing w:line="261" w:lineRule="exact" w:before="35"/>
              <w:ind w:left="2492" w:right="2470"/>
              <w:jc w:val="center"/>
              <w:rPr>
                <w:sz w:val="24"/>
              </w:rPr>
            </w:pPr>
            <w:r>
              <w:rPr>
                <w:sz w:val="24"/>
              </w:rPr>
              <w:t>Return On Equity</w:t>
            </w:r>
          </w:p>
        </w:tc>
      </w:tr>
      <w:tr>
        <w:trPr>
          <w:trHeight w:val="316" w:hRule="atLeast"/>
        </w:trPr>
        <w:tc>
          <w:tcPr>
            <w:tcW w:w="965" w:type="dxa"/>
            <w:vMerge/>
            <w:tcBorders>
              <w:top w:val="nil"/>
            </w:tcBorders>
          </w:tcPr>
          <w:p>
            <w:pPr>
              <w:rPr>
                <w:sz w:val="2"/>
                <w:szCs w:val="2"/>
              </w:rPr>
            </w:pPr>
          </w:p>
        </w:tc>
        <w:tc>
          <w:tcPr>
            <w:tcW w:w="1305" w:type="dxa"/>
            <w:vMerge/>
            <w:tcBorders>
              <w:top w:val="nil"/>
            </w:tcBorders>
          </w:tcPr>
          <w:p>
            <w:pPr>
              <w:rPr>
                <w:sz w:val="2"/>
                <w:szCs w:val="2"/>
              </w:rPr>
            </w:pPr>
          </w:p>
        </w:tc>
        <w:tc>
          <w:tcPr>
            <w:tcW w:w="926" w:type="dxa"/>
          </w:tcPr>
          <w:p>
            <w:pPr>
              <w:pStyle w:val="TableParagraph"/>
              <w:spacing w:before="30"/>
              <w:ind w:right="96"/>
              <w:rPr>
                <w:sz w:val="24"/>
              </w:rPr>
            </w:pPr>
            <w:r>
              <w:rPr>
                <w:sz w:val="24"/>
              </w:rPr>
              <w:t>2012</w:t>
            </w:r>
          </w:p>
        </w:tc>
        <w:tc>
          <w:tcPr>
            <w:tcW w:w="921" w:type="dxa"/>
          </w:tcPr>
          <w:p>
            <w:pPr>
              <w:pStyle w:val="TableParagraph"/>
              <w:spacing w:before="30"/>
              <w:ind w:right="96"/>
              <w:rPr>
                <w:sz w:val="24"/>
              </w:rPr>
            </w:pPr>
            <w:r>
              <w:rPr>
                <w:sz w:val="24"/>
              </w:rPr>
              <w:t>2013</w:t>
            </w:r>
          </w:p>
        </w:tc>
        <w:tc>
          <w:tcPr>
            <w:tcW w:w="922" w:type="dxa"/>
          </w:tcPr>
          <w:p>
            <w:pPr>
              <w:pStyle w:val="TableParagraph"/>
              <w:spacing w:before="30"/>
              <w:ind w:right="91"/>
              <w:rPr>
                <w:sz w:val="24"/>
              </w:rPr>
            </w:pPr>
            <w:r>
              <w:rPr>
                <w:sz w:val="24"/>
              </w:rPr>
              <w:t>2014</w:t>
            </w:r>
          </w:p>
        </w:tc>
        <w:tc>
          <w:tcPr>
            <w:tcW w:w="922" w:type="dxa"/>
          </w:tcPr>
          <w:p>
            <w:pPr>
              <w:pStyle w:val="TableParagraph"/>
              <w:spacing w:before="30"/>
              <w:ind w:right="91"/>
              <w:rPr>
                <w:sz w:val="24"/>
              </w:rPr>
            </w:pPr>
            <w:r>
              <w:rPr>
                <w:sz w:val="24"/>
              </w:rPr>
              <w:t>2015</w:t>
            </w:r>
          </w:p>
        </w:tc>
        <w:tc>
          <w:tcPr>
            <w:tcW w:w="926" w:type="dxa"/>
          </w:tcPr>
          <w:p>
            <w:pPr>
              <w:pStyle w:val="TableParagraph"/>
              <w:spacing w:before="30"/>
              <w:ind w:right="95"/>
              <w:rPr>
                <w:sz w:val="24"/>
              </w:rPr>
            </w:pPr>
            <w:r>
              <w:rPr>
                <w:sz w:val="24"/>
              </w:rPr>
              <w:t>2016</w:t>
            </w:r>
          </w:p>
        </w:tc>
        <w:tc>
          <w:tcPr>
            <w:tcW w:w="1051" w:type="dxa"/>
          </w:tcPr>
          <w:p>
            <w:pPr>
              <w:pStyle w:val="TableParagraph"/>
              <w:spacing w:before="30"/>
              <w:ind w:right="90"/>
              <w:rPr>
                <w:sz w:val="24"/>
              </w:rPr>
            </w:pPr>
            <w:r>
              <w:rPr>
                <w:sz w:val="24"/>
              </w:rPr>
              <w:t>2017</w:t>
            </w:r>
          </w:p>
        </w:tc>
        <w:tc>
          <w:tcPr>
            <w:tcW w:w="1051" w:type="dxa"/>
          </w:tcPr>
          <w:p>
            <w:pPr>
              <w:pStyle w:val="TableParagraph"/>
              <w:spacing w:before="30"/>
              <w:ind w:right="90"/>
              <w:rPr>
                <w:sz w:val="24"/>
              </w:rPr>
            </w:pPr>
            <w:r>
              <w:rPr>
                <w:sz w:val="24"/>
              </w:rPr>
              <w:t>2018</w:t>
            </w:r>
          </w:p>
        </w:tc>
      </w:tr>
      <w:tr>
        <w:trPr>
          <w:trHeight w:val="316" w:hRule="atLeast"/>
        </w:trPr>
        <w:tc>
          <w:tcPr>
            <w:tcW w:w="965" w:type="dxa"/>
          </w:tcPr>
          <w:p>
            <w:pPr>
              <w:pStyle w:val="TableParagraph"/>
              <w:spacing w:before="30"/>
              <w:ind w:right="98"/>
              <w:rPr>
                <w:sz w:val="24"/>
              </w:rPr>
            </w:pPr>
            <w:r>
              <w:rPr>
                <w:sz w:val="24"/>
              </w:rPr>
              <w:t>1</w:t>
            </w:r>
          </w:p>
        </w:tc>
        <w:tc>
          <w:tcPr>
            <w:tcW w:w="1305" w:type="dxa"/>
          </w:tcPr>
          <w:p>
            <w:pPr>
              <w:pStyle w:val="TableParagraph"/>
              <w:spacing w:before="30"/>
              <w:ind w:left="105"/>
              <w:jc w:val="left"/>
              <w:rPr>
                <w:sz w:val="24"/>
              </w:rPr>
            </w:pPr>
            <w:r>
              <w:rPr>
                <w:sz w:val="24"/>
              </w:rPr>
              <w:t>INTP</w:t>
            </w:r>
          </w:p>
        </w:tc>
        <w:tc>
          <w:tcPr>
            <w:tcW w:w="926" w:type="dxa"/>
          </w:tcPr>
          <w:p>
            <w:pPr>
              <w:pStyle w:val="TableParagraph"/>
              <w:spacing w:before="30"/>
              <w:ind w:right="92"/>
              <w:rPr>
                <w:sz w:val="24"/>
              </w:rPr>
            </w:pPr>
            <w:r>
              <w:rPr>
                <w:sz w:val="24"/>
              </w:rPr>
              <w:t>24.53</w:t>
            </w:r>
          </w:p>
        </w:tc>
        <w:tc>
          <w:tcPr>
            <w:tcW w:w="921" w:type="dxa"/>
          </w:tcPr>
          <w:p>
            <w:pPr>
              <w:pStyle w:val="TableParagraph"/>
              <w:spacing w:before="30"/>
              <w:ind w:right="91"/>
              <w:rPr>
                <w:sz w:val="24"/>
              </w:rPr>
            </w:pPr>
            <w:r>
              <w:rPr>
                <w:sz w:val="24"/>
              </w:rPr>
              <w:t>21.81</w:t>
            </w:r>
          </w:p>
        </w:tc>
        <w:tc>
          <w:tcPr>
            <w:tcW w:w="922" w:type="dxa"/>
          </w:tcPr>
          <w:p>
            <w:pPr>
              <w:pStyle w:val="TableParagraph"/>
              <w:spacing w:before="30"/>
              <w:ind w:right="86"/>
              <w:rPr>
                <w:sz w:val="24"/>
              </w:rPr>
            </w:pPr>
            <w:r>
              <w:rPr>
                <w:sz w:val="24"/>
              </w:rPr>
              <w:t>21.28</w:t>
            </w:r>
          </w:p>
        </w:tc>
        <w:tc>
          <w:tcPr>
            <w:tcW w:w="922" w:type="dxa"/>
          </w:tcPr>
          <w:p>
            <w:pPr>
              <w:pStyle w:val="TableParagraph"/>
              <w:spacing w:before="30"/>
              <w:ind w:right="87"/>
              <w:rPr>
                <w:sz w:val="24"/>
              </w:rPr>
            </w:pPr>
            <w:r>
              <w:rPr>
                <w:sz w:val="24"/>
              </w:rPr>
              <w:t>18.25</w:t>
            </w:r>
          </w:p>
        </w:tc>
        <w:tc>
          <w:tcPr>
            <w:tcW w:w="926" w:type="dxa"/>
          </w:tcPr>
          <w:p>
            <w:pPr>
              <w:pStyle w:val="TableParagraph"/>
              <w:spacing w:before="30"/>
              <w:ind w:right="91"/>
              <w:rPr>
                <w:sz w:val="24"/>
              </w:rPr>
            </w:pPr>
            <w:r>
              <w:rPr>
                <w:sz w:val="24"/>
              </w:rPr>
              <w:t>14.81</w:t>
            </w:r>
          </w:p>
        </w:tc>
        <w:tc>
          <w:tcPr>
            <w:tcW w:w="1051" w:type="dxa"/>
          </w:tcPr>
          <w:p>
            <w:pPr>
              <w:pStyle w:val="TableParagraph"/>
              <w:spacing w:before="30"/>
              <w:ind w:right="86"/>
              <w:rPr>
                <w:sz w:val="24"/>
              </w:rPr>
            </w:pPr>
            <w:r>
              <w:rPr>
                <w:sz w:val="24"/>
              </w:rPr>
              <w:t>7.57</w:t>
            </w:r>
          </w:p>
        </w:tc>
        <w:tc>
          <w:tcPr>
            <w:tcW w:w="1051" w:type="dxa"/>
          </w:tcPr>
          <w:p>
            <w:pPr>
              <w:pStyle w:val="TableParagraph"/>
              <w:spacing w:before="30"/>
              <w:ind w:right="85"/>
              <w:rPr>
                <w:sz w:val="24"/>
              </w:rPr>
            </w:pPr>
            <w:r>
              <w:rPr>
                <w:sz w:val="24"/>
              </w:rPr>
              <w:t>4.93</w:t>
            </w:r>
          </w:p>
        </w:tc>
      </w:tr>
      <w:tr>
        <w:trPr>
          <w:trHeight w:val="311" w:hRule="atLeast"/>
        </w:trPr>
        <w:tc>
          <w:tcPr>
            <w:tcW w:w="965" w:type="dxa"/>
          </w:tcPr>
          <w:p>
            <w:pPr>
              <w:pStyle w:val="TableParagraph"/>
              <w:spacing w:line="261" w:lineRule="exact" w:before="30"/>
              <w:ind w:right="98"/>
              <w:rPr>
                <w:sz w:val="24"/>
              </w:rPr>
            </w:pPr>
            <w:r>
              <w:rPr>
                <w:sz w:val="24"/>
              </w:rPr>
              <w:t>2</w:t>
            </w:r>
          </w:p>
        </w:tc>
        <w:tc>
          <w:tcPr>
            <w:tcW w:w="1305" w:type="dxa"/>
          </w:tcPr>
          <w:p>
            <w:pPr>
              <w:pStyle w:val="TableParagraph"/>
              <w:spacing w:line="261" w:lineRule="exact" w:before="30"/>
              <w:ind w:left="105"/>
              <w:jc w:val="left"/>
              <w:rPr>
                <w:sz w:val="24"/>
              </w:rPr>
            </w:pPr>
            <w:r>
              <w:rPr>
                <w:sz w:val="24"/>
              </w:rPr>
              <w:t>SMBR</w:t>
            </w:r>
          </w:p>
        </w:tc>
        <w:tc>
          <w:tcPr>
            <w:tcW w:w="926" w:type="dxa"/>
          </w:tcPr>
          <w:p>
            <w:pPr>
              <w:pStyle w:val="TableParagraph"/>
              <w:spacing w:line="261" w:lineRule="exact" w:before="30"/>
              <w:ind w:right="92"/>
              <w:rPr>
                <w:sz w:val="24"/>
              </w:rPr>
            </w:pPr>
            <w:r>
              <w:rPr>
                <w:sz w:val="24"/>
              </w:rPr>
              <w:t>31.29</w:t>
            </w:r>
          </w:p>
        </w:tc>
        <w:tc>
          <w:tcPr>
            <w:tcW w:w="921" w:type="dxa"/>
          </w:tcPr>
          <w:p>
            <w:pPr>
              <w:pStyle w:val="TableParagraph"/>
              <w:spacing w:line="261" w:lineRule="exact" w:before="30"/>
              <w:ind w:right="91"/>
              <w:rPr>
                <w:sz w:val="24"/>
              </w:rPr>
            </w:pPr>
            <w:r>
              <w:rPr>
                <w:sz w:val="24"/>
              </w:rPr>
              <w:t>12.65</w:t>
            </w:r>
          </w:p>
        </w:tc>
        <w:tc>
          <w:tcPr>
            <w:tcW w:w="922" w:type="dxa"/>
          </w:tcPr>
          <w:p>
            <w:pPr>
              <w:pStyle w:val="TableParagraph"/>
              <w:spacing w:line="261" w:lineRule="exact" w:before="30"/>
              <w:ind w:right="86"/>
              <w:rPr>
                <w:sz w:val="24"/>
              </w:rPr>
            </w:pPr>
            <w:r>
              <w:rPr>
                <w:sz w:val="24"/>
              </w:rPr>
              <w:t>12.08</w:t>
            </w:r>
          </w:p>
        </w:tc>
        <w:tc>
          <w:tcPr>
            <w:tcW w:w="922" w:type="dxa"/>
          </w:tcPr>
          <w:p>
            <w:pPr>
              <w:pStyle w:val="TableParagraph"/>
              <w:spacing w:line="261" w:lineRule="exact" w:before="30"/>
              <w:ind w:right="87"/>
              <w:rPr>
                <w:sz w:val="24"/>
              </w:rPr>
            </w:pPr>
            <w:r>
              <w:rPr>
                <w:sz w:val="24"/>
              </w:rPr>
              <w:t>12.01</w:t>
            </w:r>
          </w:p>
        </w:tc>
        <w:tc>
          <w:tcPr>
            <w:tcW w:w="926" w:type="dxa"/>
          </w:tcPr>
          <w:p>
            <w:pPr>
              <w:pStyle w:val="TableParagraph"/>
              <w:spacing w:line="261" w:lineRule="exact" w:before="30"/>
              <w:ind w:right="91"/>
              <w:rPr>
                <w:sz w:val="24"/>
              </w:rPr>
            </w:pPr>
            <w:r>
              <w:rPr>
                <w:sz w:val="24"/>
              </w:rPr>
              <w:t>8.30</w:t>
            </w:r>
          </w:p>
        </w:tc>
        <w:tc>
          <w:tcPr>
            <w:tcW w:w="1051" w:type="dxa"/>
          </w:tcPr>
          <w:p>
            <w:pPr>
              <w:pStyle w:val="TableParagraph"/>
              <w:spacing w:line="261" w:lineRule="exact" w:before="30"/>
              <w:ind w:right="86"/>
              <w:rPr>
                <w:sz w:val="24"/>
              </w:rPr>
            </w:pPr>
            <w:r>
              <w:rPr>
                <w:sz w:val="24"/>
              </w:rPr>
              <w:t>4.30</w:t>
            </w:r>
          </w:p>
        </w:tc>
        <w:tc>
          <w:tcPr>
            <w:tcW w:w="1051" w:type="dxa"/>
          </w:tcPr>
          <w:p>
            <w:pPr>
              <w:pStyle w:val="TableParagraph"/>
              <w:spacing w:line="261" w:lineRule="exact" w:before="30"/>
              <w:ind w:right="85"/>
              <w:rPr>
                <w:sz w:val="24"/>
              </w:rPr>
            </w:pPr>
            <w:r>
              <w:rPr>
                <w:sz w:val="24"/>
              </w:rPr>
              <w:t>2.19</w:t>
            </w:r>
          </w:p>
        </w:tc>
      </w:tr>
      <w:tr>
        <w:trPr>
          <w:trHeight w:val="316" w:hRule="atLeast"/>
        </w:trPr>
        <w:tc>
          <w:tcPr>
            <w:tcW w:w="965" w:type="dxa"/>
          </w:tcPr>
          <w:p>
            <w:pPr>
              <w:pStyle w:val="TableParagraph"/>
              <w:spacing w:line="261" w:lineRule="exact" w:before="35"/>
              <w:ind w:right="98"/>
              <w:rPr>
                <w:sz w:val="24"/>
              </w:rPr>
            </w:pPr>
            <w:r>
              <w:rPr>
                <w:sz w:val="24"/>
              </w:rPr>
              <w:t>3</w:t>
            </w:r>
          </w:p>
        </w:tc>
        <w:tc>
          <w:tcPr>
            <w:tcW w:w="1305" w:type="dxa"/>
          </w:tcPr>
          <w:p>
            <w:pPr>
              <w:pStyle w:val="TableParagraph"/>
              <w:spacing w:line="261" w:lineRule="exact" w:before="35"/>
              <w:ind w:left="105"/>
              <w:jc w:val="left"/>
              <w:rPr>
                <w:sz w:val="24"/>
              </w:rPr>
            </w:pPr>
            <w:r>
              <w:rPr>
                <w:sz w:val="24"/>
              </w:rPr>
              <w:t>SMCB</w:t>
            </w:r>
          </w:p>
        </w:tc>
        <w:tc>
          <w:tcPr>
            <w:tcW w:w="926" w:type="dxa"/>
          </w:tcPr>
          <w:p>
            <w:pPr>
              <w:pStyle w:val="TableParagraph"/>
              <w:spacing w:line="261" w:lineRule="exact" w:before="35"/>
              <w:ind w:right="92"/>
              <w:rPr>
                <w:sz w:val="24"/>
              </w:rPr>
            </w:pPr>
            <w:r>
              <w:rPr>
                <w:sz w:val="24"/>
              </w:rPr>
              <w:t>16.05</w:t>
            </w:r>
          </w:p>
        </w:tc>
        <w:tc>
          <w:tcPr>
            <w:tcW w:w="921" w:type="dxa"/>
          </w:tcPr>
          <w:p>
            <w:pPr>
              <w:pStyle w:val="TableParagraph"/>
              <w:spacing w:line="261" w:lineRule="exact" w:before="35"/>
              <w:ind w:right="91"/>
              <w:rPr>
                <w:sz w:val="24"/>
              </w:rPr>
            </w:pPr>
            <w:r>
              <w:rPr>
                <w:sz w:val="24"/>
              </w:rPr>
              <w:t>9.74</w:t>
            </w:r>
          </w:p>
        </w:tc>
        <w:tc>
          <w:tcPr>
            <w:tcW w:w="922" w:type="dxa"/>
          </w:tcPr>
          <w:p>
            <w:pPr>
              <w:pStyle w:val="TableParagraph"/>
              <w:spacing w:line="261" w:lineRule="exact" w:before="35"/>
              <w:ind w:right="86"/>
              <w:rPr>
                <w:sz w:val="24"/>
              </w:rPr>
            </w:pPr>
            <w:r>
              <w:rPr>
                <w:sz w:val="24"/>
              </w:rPr>
              <w:t>7.64</w:t>
            </w:r>
          </w:p>
        </w:tc>
        <w:tc>
          <w:tcPr>
            <w:tcW w:w="922" w:type="dxa"/>
          </w:tcPr>
          <w:p>
            <w:pPr>
              <w:pStyle w:val="TableParagraph"/>
              <w:spacing w:line="261" w:lineRule="exact" w:before="35"/>
              <w:ind w:right="87"/>
              <w:rPr>
                <w:sz w:val="24"/>
              </w:rPr>
            </w:pPr>
            <w:r>
              <w:rPr>
                <w:sz w:val="24"/>
              </w:rPr>
              <w:t>2.07</w:t>
            </w:r>
          </w:p>
        </w:tc>
        <w:tc>
          <w:tcPr>
            <w:tcW w:w="926" w:type="dxa"/>
          </w:tcPr>
          <w:p>
            <w:pPr>
              <w:pStyle w:val="TableParagraph"/>
              <w:spacing w:line="261" w:lineRule="exact" w:before="35"/>
              <w:ind w:right="91"/>
              <w:rPr>
                <w:sz w:val="24"/>
              </w:rPr>
            </w:pPr>
            <w:r>
              <w:rPr>
                <w:sz w:val="24"/>
              </w:rPr>
              <w:t>-3.53</w:t>
            </w:r>
          </w:p>
        </w:tc>
        <w:tc>
          <w:tcPr>
            <w:tcW w:w="1051" w:type="dxa"/>
          </w:tcPr>
          <w:p>
            <w:pPr>
              <w:pStyle w:val="TableParagraph"/>
              <w:spacing w:line="261" w:lineRule="exact" w:before="35"/>
              <w:ind w:right="86"/>
              <w:rPr>
                <w:sz w:val="24"/>
              </w:rPr>
            </w:pPr>
            <w:r>
              <w:rPr>
                <w:sz w:val="24"/>
              </w:rPr>
              <w:t>-10.53</w:t>
            </w:r>
          </w:p>
        </w:tc>
        <w:tc>
          <w:tcPr>
            <w:tcW w:w="1051" w:type="dxa"/>
          </w:tcPr>
          <w:p>
            <w:pPr>
              <w:pStyle w:val="TableParagraph"/>
              <w:spacing w:line="261" w:lineRule="exact" w:before="35"/>
              <w:ind w:right="85"/>
              <w:rPr>
                <w:sz w:val="24"/>
              </w:rPr>
            </w:pPr>
            <w:r>
              <w:rPr>
                <w:sz w:val="24"/>
              </w:rPr>
              <w:t>-12.90</w:t>
            </w:r>
          </w:p>
        </w:tc>
      </w:tr>
      <w:tr>
        <w:trPr>
          <w:trHeight w:val="316" w:hRule="atLeast"/>
        </w:trPr>
        <w:tc>
          <w:tcPr>
            <w:tcW w:w="965" w:type="dxa"/>
          </w:tcPr>
          <w:p>
            <w:pPr>
              <w:pStyle w:val="TableParagraph"/>
              <w:spacing w:before="30"/>
              <w:ind w:right="98"/>
              <w:rPr>
                <w:sz w:val="24"/>
              </w:rPr>
            </w:pPr>
            <w:r>
              <w:rPr>
                <w:sz w:val="24"/>
              </w:rPr>
              <w:t>4</w:t>
            </w:r>
          </w:p>
        </w:tc>
        <w:tc>
          <w:tcPr>
            <w:tcW w:w="1305" w:type="dxa"/>
          </w:tcPr>
          <w:p>
            <w:pPr>
              <w:pStyle w:val="TableParagraph"/>
              <w:spacing w:before="30"/>
              <w:ind w:left="105"/>
              <w:jc w:val="left"/>
              <w:rPr>
                <w:sz w:val="24"/>
              </w:rPr>
            </w:pPr>
            <w:r>
              <w:rPr>
                <w:sz w:val="24"/>
              </w:rPr>
              <w:t>SMGR</w:t>
            </w:r>
          </w:p>
        </w:tc>
        <w:tc>
          <w:tcPr>
            <w:tcW w:w="926" w:type="dxa"/>
          </w:tcPr>
          <w:p>
            <w:pPr>
              <w:pStyle w:val="TableParagraph"/>
              <w:spacing w:before="30"/>
              <w:ind w:right="92"/>
              <w:rPr>
                <w:sz w:val="24"/>
              </w:rPr>
            </w:pPr>
            <w:r>
              <w:rPr>
                <w:sz w:val="24"/>
              </w:rPr>
              <w:t>27.12</w:t>
            </w:r>
          </w:p>
        </w:tc>
        <w:tc>
          <w:tcPr>
            <w:tcW w:w="921" w:type="dxa"/>
          </w:tcPr>
          <w:p>
            <w:pPr>
              <w:pStyle w:val="TableParagraph"/>
              <w:spacing w:before="30"/>
              <w:ind w:right="91"/>
              <w:rPr>
                <w:sz w:val="24"/>
              </w:rPr>
            </w:pPr>
            <w:r>
              <w:rPr>
                <w:sz w:val="24"/>
              </w:rPr>
              <w:t>24.56</w:t>
            </w:r>
          </w:p>
        </w:tc>
        <w:tc>
          <w:tcPr>
            <w:tcW w:w="922" w:type="dxa"/>
          </w:tcPr>
          <w:p>
            <w:pPr>
              <w:pStyle w:val="TableParagraph"/>
              <w:spacing w:before="30"/>
              <w:ind w:right="86"/>
              <w:rPr>
                <w:sz w:val="24"/>
              </w:rPr>
            </w:pPr>
            <w:r>
              <w:rPr>
                <w:sz w:val="24"/>
              </w:rPr>
              <w:t>22.29</w:t>
            </w:r>
          </w:p>
        </w:tc>
        <w:tc>
          <w:tcPr>
            <w:tcW w:w="922" w:type="dxa"/>
          </w:tcPr>
          <w:p>
            <w:pPr>
              <w:pStyle w:val="TableParagraph"/>
              <w:spacing w:before="30"/>
              <w:ind w:right="87"/>
              <w:rPr>
                <w:sz w:val="24"/>
              </w:rPr>
            </w:pPr>
            <w:r>
              <w:rPr>
                <w:sz w:val="24"/>
              </w:rPr>
              <w:t>16.49</w:t>
            </w:r>
          </w:p>
        </w:tc>
        <w:tc>
          <w:tcPr>
            <w:tcW w:w="926" w:type="dxa"/>
          </w:tcPr>
          <w:p>
            <w:pPr>
              <w:pStyle w:val="TableParagraph"/>
              <w:spacing w:before="30"/>
              <w:ind w:right="91"/>
              <w:rPr>
                <w:sz w:val="24"/>
              </w:rPr>
            </w:pPr>
            <w:r>
              <w:rPr>
                <w:sz w:val="24"/>
              </w:rPr>
              <w:t>14.83</w:t>
            </w:r>
          </w:p>
        </w:tc>
        <w:tc>
          <w:tcPr>
            <w:tcW w:w="1051" w:type="dxa"/>
          </w:tcPr>
          <w:p>
            <w:pPr>
              <w:pStyle w:val="TableParagraph"/>
              <w:spacing w:before="30"/>
              <w:ind w:right="86"/>
              <w:rPr>
                <w:sz w:val="24"/>
              </w:rPr>
            </w:pPr>
            <w:r>
              <w:rPr>
                <w:sz w:val="24"/>
              </w:rPr>
              <w:t>5.49</w:t>
            </w:r>
          </w:p>
        </w:tc>
        <w:tc>
          <w:tcPr>
            <w:tcW w:w="1051" w:type="dxa"/>
          </w:tcPr>
          <w:p>
            <w:pPr>
              <w:pStyle w:val="TableParagraph"/>
              <w:spacing w:before="30"/>
              <w:ind w:right="85"/>
              <w:rPr>
                <w:sz w:val="24"/>
              </w:rPr>
            </w:pPr>
            <w:r>
              <w:rPr>
                <w:sz w:val="24"/>
              </w:rPr>
              <w:t>9.43</w:t>
            </w:r>
          </w:p>
        </w:tc>
      </w:tr>
      <w:tr>
        <w:trPr>
          <w:trHeight w:val="317" w:hRule="atLeast"/>
        </w:trPr>
        <w:tc>
          <w:tcPr>
            <w:tcW w:w="965" w:type="dxa"/>
          </w:tcPr>
          <w:p>
            <w:pPr>
              <w:pStyle w:val="TableParagraph"/>
              <w:spacing w:before="30"/>
              <w:ind w:right="98"/>
              <w:rPr>
                <w:sz w:val="24"/>
              </w:rPr>
            </w:pPr>
            <w:r>
              <w:rPr>
                <w:sz w:val="24"/>
              </w:rPr>
              <w:t>5</w:t>
            </w:r>
          </w:p>
        </w:tc>
        <w:tc>
          <w:tcPr>
            <w:tcW w:w="1305" w:type="dxa"/>
          </w:tcPr>
          <w:p>
            <w:pPr>
              <w:pStyle w:val="TableParagraph"/>
              <w:spacing w:before="30"/>
              <w:ind w:left="105"/>
              <w:jc w:val="left"/>
              <w:rPr>
                <w:sz w:val="24"/>
              </w:rPr>
            </w:pPr>
            <w:r>
              <w:rPr>
                <w:sz w:val="24"/>
              </w:rPr>
              <w:t>WTON</w:t>
            </w:r>
          </w:p>
        </w:tc>
        <w:tc>
          <w:tcPr>
            <w:tcW w:w="926" w:type="dxa"/>
          </w:tcPr>
          <w:p>
            <w:pPr>
              <w:pStyle w:val="TableParagraph"/>
              <w:spacing w:before="30"/>
              <w:ind w:right="92"/>
              <w:rPr>
                <w:sz w:val="24"/>
              </w:rPr>
            </w:pPr>
            <w:r>
              <w:rPr>
                <w:sz w:val="24"/>
              </w:rPr>
              <w:t>12.66</w:t>
            </w:r>
          </w:p>
        </w:tc>
        <w:tc>
          <w:tcPr>
            <w:tcW w:w="921" w:type="dxa"/>
          </w:tcPr>
          <w:p>
            <w:pPr>
              <w:pStyle w:val="TableParagraph"/>
              <w:spacing w:before="30"/>
              <w:ind w:right="91"/>
              <w:rPr>
                <w:sz w:val="24"/>
              </w:rPr>
            </w:pPr>
            <w:r>
              <w:rPr>
                <w:sz w:val="24"/>
              </w:rPr>
              <w:t>15.44</w:t>
            </w:r>
          </w:p>
        </w:tc>
        <w:tc>
          <w:tcPr>
            <w:tcW w:w="922" w:type="dxa"/>
          </w:tcPr>
          <w:p>
            <w:pPr>
              <w:pStyle w:val="TableParagraph"/>
              <w:spacing w:before="30"/>
              <w:ind w:right="86"/>
              <w:rPr>
                <w:sz w:val="24"/>
              </w:rPr>
            </w:pPr>
            <w:r>
              <w:rPr>
                <w:sz w:val="24"/>
              </w:rPr>
              <w:t>14.70</w:t>
            </w:r>
          </w:p>
        </w:tc>
        <w:tc>
          <w:tcPr>
            <w:tcW w:w="922" w:type="dxa"/>
          </w:tcPr>
          <w:p>
            <w:pPr>
              <w:pStyle w:val="TableParagraph"/>
              <w:spacing w:before="30"/>
              <w:ind w:right="87"/>
              <w:rPr>
                <w:sz w:val="24"/>
              </w:rPr>
            </w:pPr>
            <w:r>
              <w:rPr>
                <w:sz w:val="24"/>
              </w:rPr>
              <w:t>7.59</w:t>
            </w:r>
          </w:p>
        </w:tc>
        <w:tc>
          <w:tcPr>
            <w:tcW w:w="926" w:type="dxa"/>
          </w:tcPr>
          <w:p>
            <w:pPr>
              <w:pStyle w:val="TableParagraph"/>
              <w:spacing w:before="30"/>
              <w:ind w:right="91"/>
              <w:rPr>
                <w:sz w:val="24"/>
              </w:rPr>
            </w:pPr>
            <w:r>
              <w:rPr>
                <w:sz w:val="24"/>
              </w:rPr>
              <w:t>11.31</w:t>
            </w:r>
          </w:p>
        </w:tc>
        <w:tc>
          <w:tcPr>
            <w:tcW w:w="1051" w:type="dxa"/>
          </w:tcPr>
          <w:p>
            <w:pPr>
              <w:pStyle w:val="TableParagraph"/>
              <w:spacing w:before="30"/>
              <w:ind w:right="86"/>
              <w:rPr>
                <w:sz w:val="24"/>
              </w:rPr>
            </w:pPr>
            <w:r>
              <w:rPr>
                <w:sz w:val="24"/>
              </w:rPr>
              <w:t>12.39</w:t>
            </w:r>
          </w:p>
        </w:tc>
        <w:tc>
          <w:tcPr>
            <w:tcW w:w="1051" w:type="dxa"/>
          </w:tcPr>
          <w:p>
            <w:pPr>
              <w:pStyle w:val="TableParagraph"/>
              <w:spacing w:before="30"/>
              <w:ind w:right="85"/>
              <w:rPr>
                <w:sz w:val="24"/>
              </w:rPr>
            </w:pPr>
            <w:r>
              <w:rPr>
                <w:sz w:val="24"/>
              </w:rPr>
              <w:t>15.51</w:t>
            </w:r>
          </w:p>
        </w:tc>
      </w:tr>
    </w:tbl>
    <w:p>
      <w:pPr>
        <w:pStyle w:val="BodyText"/>
        <w:rPr>
          <w:sz w:val="20"/>
        </w:rPr>
      </w:pPr>
    </w:p>
    <w:p>
      <w:pPr>
        <w:pStyle w:val="BodyText"/>
        <w:spacing w:before="9"/>
        <w:rPr>
          <w:sz w:val="18"/>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1262"/>
        <w:gridCol w:w="960"/>
        <w:gridCol w:w="960"/>
        <w:gridCol w:w="961"/>
        <w:gridCol w:w="961"/>
        <w:gridCol w:w="961"/>
        <w:gridCol w:w="961"/>
        <w:gridCol w:w="961"/>
      </w:tblGrid>
      <w:tr>
        <w:trPr>
          <w:trHeight w:val="316" w:hRule="atLeast"/>
        </w:trPr>
        <w:tc>
          <w:tcPr>
            <w:tcW w:w="965" w:type="dxa"/>
            <w:vMerge w:val="restart"/>
          </w:tcPr>
          <w:p>
            <w:pPr>
              <w:pStyle w:val="TableParagraph"/>
              <w:spacing w:line="240" w:lineRule="auto" w:before="188"/>
              <w:ind w:left="313" w:right="306"/>
              <w:jc w:val="center"/>
              <w:rPr>
                <w:rFonts w:ascii="Calibri"/>
                <w:sz w:val="22"/>
              </w:rPr>
            </w:pPr>
            <w:r>
              <w:rPr>
                <w:rFonts w:ascii="Calibri"/>
                <w:sz w:val="22"/>
              </w:rPr>
              <w:t>No</w:t>
            </w:r>
          </w:p>
        </w:tc>
        <w:tc>
          <w:tcPr>
            <w:tcW w:w="1262" w:type="dxa"/>
            <w:vMerge w:val="restart"/>
          </w:tcPr>
          <w:p>
            <w:pPr>
              <w:pStyle w:val="TableParagraph"/>
              <w:spacing w:line="240" w:lineRule="auto" w:before="54"/>
              <w:ind w:left="105" w:right="78" w:firstLine="297"/>
              <w:jc w:val="left"/>
              <w:rPr>
                <w:rFonts w:ascii="Calibri"/>
                <w:sz w:val="22"/>
              </w:rPr>
            </w:pPr>
            <w:r>
              <w:rPr>
                <w:rFonts w:ascii="Calibri"/>
                <w:sz w:val="22"/>
              </w:rPr>
              <w:t>Kode Perusahaan</w:t>
            </w:r>
          </w:p>
        </w:tc>
        <w:tc>
          <w:tcPr>
            <w:tcW w:w="6725" w:type="dxa"/>
            <w:gridSpan w:val="7"/>
          </w:tcPr>
          <w:p>
            <w:pPr>
              <w:pStyle w:val="TableParagraph"/>
              <w:spacing w:line="247" w:lineRule="exact" w:before="49"/>
              <w:ind w:left="2752" w:right="2741"/>
              <w:jc w:val="center"/>
              <w:rPr>
                <w:rFonts w:ascii="Calibri"/>
                <w:sz w:val="22"/>
              </w:rPr>
            </w:pPr>
            <w:r>
              <w:rPr>
                <w:rFonts w:ascii="Calibri"/>
                <w:sz w:val="22"/>
              </w:rPr>
              <w:t>Harga Saham</w:t>
            </w:r>
          </w:p>
        </w:tc>
      </w:tr>
      <w:tr>
        <w:trPr>
          <w:trHeight w:val="316" w:hRule="atLeast"/>
        </w:trPr>
        <w:tc>
          <w:tcPr>
            <w:tcW w:w="965" w:type="dxa"/>
            <w:vMerge/>
            <w:tcBorders>
              <w:top w:val="nil"/>
            </w:tcBorders>
          </w:tcPr>
          <w:p>
            <w:pPr>
              <w:rPr>
                <w:sz w:val="2"/>
                <w:szCs w:val="2"/>
              </w:rPr>
            </w:pPr>
          </w:p>
        </w:tc>
        <w:tc>
          <w:tcPr>
            <w:tcW w:w="1262" w:type="dxa"/>
            <w:vMerge/>
            <w:tcBorders>
              <w:top w:val="nil"/>
            </w:tcBorders>
          </w:tcPr>
          <w:p>
            <w:pPr>
              <w:rPr>
                <w:sz w:val="2"/>
                <w:szCs w:val="2"/>
              </w:rPr>
            </w:pPr>
          </w:p>
        </w:tc>
        <w:tc>
          <w:tcPr>
            <w:tcW w:w="960" w:type="dxa"/>
          </w:tcPr>
          <w:p>
            <w:pPr>
              <w:pStyle w:val="TableParagraph"/>
              <w:spacing w:line="247" w:lineRule="exact" w:before="49"/>
              <w:ind w:right="97"/>
              <w:rPr>
                <w:rFonts w:ascii="Calibri"/>
                <w:sz w:val="22"/>
              </w:rPr>
            </w:pPr>
            <w:r>
              <w:rPr>
                <w:rFonts w:ascii="Calibri"/>
                <w:sz w:val="22"/>
              </w:rPr>
              <w:t>2012</w:t>
            </w:r>
          </w:p>
        </w:tc>
        <w:tc>
          <w:tcPr>
            <w:tcW w:w="960" w:type="dxa"/>
          </w:tcPr>
          <w:p>
            <w:pPr>
              <w:pStyle w:val="TableParagraph"/>
              <w:spacing w:line="247" w:lineRule="exact" w:before="49"/>
              <w:ind w:left="260"/>
              <w:jc w:val="left"/>
              <w:rPr>
                <w:rFonts w:ascii="Calibri"/>
                <w:sz w:val="22"/>
              </w:rPr>
            </w:pPr>
            <w:r>
              <w:rPr>
                <w:rFonts w:ascii="Calibri"/>
                <w:sz w:val="22"/>
              </w:rPr>
              <w:t>2013</w:t>
            </w:r>
          </w:p>
        </w:tc>
        <w:tc>
          <w:tcPr>
            <w:tcW w:w="961" w:type="dxa"/>
          </w:tcPr>
          <w:p>
            <w:pPr>
              <w:pStyle w:val="TableParagraph"/>
              <w:spacing w:line="247" w:lineRule="exact" w:before="49"/>
              <w:ind w:left="260"/>
              <w:jc w:val="left"/>
              <w:rPr>
                <w:rFonts w:ascii="Calibri"/>
                <w:sz w:val="22"/>
              </w:rPr>
            </w:pPr>
            <w:r>
              <w:rPr>
                <w:rFonts w:ascii="Calibri"/>
                <w:sz w:val="22"/>
              </w:rPr>
              <w:t>2014</w:t>
            </w:r>
          </w:p>
        </w:tc>
        <w:tc>
          <w:tcPr>
            <w:tcW w:w="961" w:type="dxa"/>
          </w:tcPr>
          <w:p>
            <w:pPr>
              <w:pStyle w:val="TableParagraph"/>
              <w:spacing w:line="247" w:lineRule="exact" w:before="49"/>
              <w:ind w:left="259"/>
              <w:jc w:val="left"/>
              <w:rPr>
                <w:rFonts w:ascii="Calibri"/>
                <w:sz w:val="22"/>
              </w:rPr>
            </w:pPr>
            <w:r>
              <w:rPr>
                <w:rFonts w:ascii="Calibri"/>
                <w:sz w:val="22"/>
              </w:rPr>
              <w:t>2015</w:t>
            </w:r>
          </w:p>
        </w:tc>
        <w:tc>
          <w:tcPr>
            <w:tcW w:w="961" w:type="dxa"/>
          </w:tcPr>
          <w:p>
            <w:pPr>
              <w:pStyle w:val="TableParagraph"/>
              <w:spacing w:line="247" w:lineRule="exact" w:before="49"/>
              <w:ind w:left="259"/>
              <w:jc w:val="left"/>
              <w:rPr>
                <w:rFonts w:ascii="Calibri"/>
                <w:sz w:val="22"/>
              </w:rPr>
            </w:pPr>
            <w:r>
              <w:rPr>
                <w:rFonts w:ascii="Calibri"/>
                <w:sz w:val="22"/>
              </w:rPr>
              <w:t>2016</w:t>
            </w:r>
          </w:p>
        </w:tc>
        <w:tc>
          <w:tcPr>
            <w:tcW w:w="961" w:type="dxa"/>
          </w:tcPr>
          <w:p>
            <w:pPr>
              <w:pStyle w:val="TableParagraph"/>
              <w:spacing w:line="247" w:lineRule="exact" w:before="49"/>
              <w:ind w:left="258"/>
              <w:jc w:val="left"/>
              <w:rPr>
                <w:rFonts w:ascii="Calibri"/>
                <w:sz w:val="22"/>
              </w:rPr>
            </w:pPr>
            <w:r>
              <w:rPr>
                <w:rFonts w:ascii="Calibri"/>
                <w:sz w:val="22"/>
              </w:rPr>
              <w:t>2017</w:t>
            </w:r>
          </w:p>
        </w:tc>
        <w:tc>
          <w:tcPr>
            <w:tcW w:w="961" w:type="dxa"/>
          </w:tcPr>
          <w:p>
            <w:pPr>
              <w:pStyle w:val="TableParagraph"/>
              <w:spacing w:line="247" w:lineRule="exact" w:before="49"/>
              <w:ind w:left="257"/>
              <w:jc w:val="left"/>
              <w:rPr>
                <w:rFonts w:ascii="Calibri"/>
                <w:sz w:val="22"/>
              </w:rPr>
            </w:pPr>
            <w:r>
              <w:rPr>
                <w:rFonts w:ascii="Calibri"/>
                <w:sz w:val="22"/>
              </w:rPr>
              <w:t>2018</w:t>
            </w:r>
          </w:p>
        </w:tc>
      </w:tr>
      <w:tr>
        <w:trPr>
          <w:trHeight w:val="311" w:hRule="atLeast"/>
        </w:trPr>
        <w:tc>
          <w:tcPr>
            <w:tcW w:w="965" w:type="dxa"/>
          </w:tcPr>
          <w:p>
            <w:pPr>
              <w:pStyle w:val="TableParagraph"/>
              <w:spacing w:before="25"/>
              <w:ind w:left="10"/>
              <w:jc w:val="center"/>
              <w:rPr>
                <w:rFonts w:ascii="Calibri"/>
                <w:sz w:val="22"/>
              </w:rPr>
            </w:pPr>
            <w:r>
              <w:rPr>
                <w:rFonts w:ascii="Calibri"/>
                <w:w w:val="100"/>
                <w:sz w:val="22"/>
              </w:rPr>
              <w:t>1</w:t>
            </w:r>
          </w:p>
        </w:tc>
        <w:tc>
          <w:tcPr>
            <w:tcW w:w="1262" w:type="dxa"/>
          </w:tcPr>
          <w:p>
            <w:pPr>
              <w:pStyle w:val="TableParagraph"/>
              <w:spacing w:line="247" w:lineRule="exact" w:before="44"/>
              <w:ind w:left="105"/>
              <w:jc w:val="left"/>
              <w:rPr>
                <w:rFonts w:ascii="Calibri"/>
                <w:sz w:val="22"/>
              </w:rPr>
            </w:pPr>
            <w:r>
              <w:rPr>
                <w:rFonts w:ascii="Calibri"/>
                <w:sz w:val="22"/>
              </w:rPr>
              <w:t>INTP</w:t>
            </w:r>
          </w:p>
        </w:tc>
        <w:tc>
          <w:tcPr>
            <w:tcW w:w="960" w:type="dxa"/>
          </w:tcPr>
          <w:p>
            <w:pPr>
              <w:pStyle w:val="TableParagraph"/>
              <w:spacing w:line="247" w:lineRule="exact" w:before="44"/>
              <w:ind w:right="96"/>
              <w:rPr>
                <w:rFonts w:ascii="Calibri"/>
                <w:sz w:val="22"/>
              </w:rPr>
            </w:pPr>
            <w:r>
              <w:rPr>
                <w:rFonts w:ascii="Calibri"/>
                <w:sz w:val="22"/>
              </w:rPr>
              <w:t>22,650</w:t>
            </w:r>
          </w:p>
        </w:tc>
        <w:tc>
          <w:tcPr>
            <w:tcW w:w="960" w:type="dxa"/>
          </w:tcPr>
          <w:p>
            <w:pPr>
              <w:pStyle w:val="TableParagraph"/>
              <w:spacing w:line="247" w:lineRule="exact" w:before="44"/>
              <w:ind w:right="96"/>
              <w:rPr>
                <w:rFonts w:ascii="Calibri"/>
                <w:sz w:val="22"/>
              </w:rPr>
            </w:pPr>
            <w:r>
              <w:rPr>
                <w:rFonts w:ascii="Calibri"/>
                <w:sz w:val="22"/>
              </w:rPr>
              <w:t>20,000</w:t>
            </w:r>
          </w:p>
        </w:tc>
        <w:tc>
          <w:tcPr>
            <w:tcW w:w="961" w:type="dxa"/>
          </w:tcPr>
          <w:p>
            <w:pPr>
              <w:pStyle w:val="TableParagraph"/>
              <w:spacing w:line="247" w:lineRule="exact" w:before="44"/>
              <w:ind w:right="96"/>
              <w:rPr>
                <w:rFonts w:ascii="Calibri"/>
                <w:sz w:val="22"/>
              </w:rPr>
            </w:pPr>
            <w:r>
              <w:rPr>
                <w:rFonts w:ascii="Calibri"/>
                <w:sz w:val="22"/>
              </w:rPr>
              <w:t>25,000</w:t>
            </w:r>
          </w:p>
        </w:tc>
        <w:tc>
          <w:tcPr>
            <w:tcW w:w="961" w:type="dxa"/>
          </w:tcPr>
          <w:p>
            <w:pPr>
              <w:pStyle w:val="TableParagraph"/>
              <w:spacing w:line="247" w:lineRule="exact" w:before="44"/>
              <w:ind w:right="97"/>
              <w:rPr>
                <w:rFonts w:ascii="Calibri"/>
                <w:sz w:val="22"/>
              </w:rPr>
            </w:pPr>
            <w:r>
              <w:rPr>
                <w:rFonts w:ascii="Calibri"/>
                <w:sz w:val="22"/>
              </w:rPr>
              <w:t>22,325</w:t>
            </w:r>
          </w:p>
        </w:tc>
        <w:tc>
          <w:tcPr>
            <w:tcW w:w="961" w:type="dxa"/>
          </w:tcPr>
          <w:p>
            <w:pPr>
              <w:pStyle w:val="TableParagraph"/>
              <w:spacing w:line="247" w:lineRule="exact" w:before="44"/>
              <w:ind w:right="98"/>
              <w:rPr>
                <w:rFonts w:ascii="Calibri"/>
                <w:sz w:val="22"/>
              </w:rPr>
            </w:pPr>
            <w:r>
              <w:rPr>
                <w:rFonts w:ascii="Calibri"/>
                <w:sz w:val="22"/>
              </w:rPr>
              <w:t>15,400</w:t>
            </w:r>
          </w:p>
        </w:tc>
        <w:tc>
          <w:tcPr>
            <w:tcW w:w="961" w:type="dxa"/>
          </w:tcPr>
          <w:p>
            <w:pPr>
              <w:pStyle w:val="TableParagraph"/>
              <w:spacing w:line="247" w:lineRule="exact" w:before="44"/>
              <w:ind w:right="99"/>
              <w:rPr>
                <w:rFonts w:ascii="Calibri"/>
                <w:sz w:val="22"/>
              </w:rPr>
            </w:pPr>
            <w:r>
              <w:rPr>
                <w:rFonts w:ascii="Calibri"/>
                <w:sz w:val="22"/>
              </w:rPr>
              <w:t>21,950</w:t>
            </w:r>
          </w:p>
        </w:tc>
        <w:tc>
          <w:tcPr>
            <w:tcW w:w="961" w:type="dxa"/>
          </w:tcPr>
          <w:p>
            <w:pPr>
              <w:pStyle w:val="TableParagraph"/>
              <w:spacing w:line="247" w:lineRule="exact" w:before="44"/>
              <w:ind w:right="99"/>
              <w:rPr>
                <w:rFonts w:ascii="Calibri"/>
                <w:sz w:val="22"/>
              </w:rPr>
            </w:pPr>
            <w:r>
              <w:rPr>
                <w:rFonts w:ascii="Calibri"/>
                <w:sz w:val="22"/>
              </w:rPr>
              <w:t>18,450</w:t>
            </w:r>
          </w:p>
        </w:tc>
      </w:tr>
      <w:tr>
        <w:trPr>
          <w:trHeight w:val="316" w:hRule="atLeast"/>
        </w:trPr>
        <w:tc>
          <w:tcPr>
            <w:tcW w:w="965" w:type="dxa"/>
          </w:tcPr>
          <w:p>
            <w:pPr>
              <w:pStyle w:val="TableParagraph"/>
              <w:spacing w:line="240" w:lineRule="auto" w:before="25"/>
              <w:ind w:left="10"/>
              <w:jc w:val="center"/>
              <w:rPr>
                <w:rFonts w:ascii="Calibri"/>
                <w:sz w:val="22"/>
              </w:rPr>
            </w:pPr>
            <w:r>
              <w:rPr>
                <w:rFonts w:ascii="Calibri"/>
                <w:w w:val="100"/>
                <w:sz w:val="22"/>
              </w:rPr>
              <w:t>2</w:t>
            </w:r>
          </w:p>
        </w:tc>
        <w:tc>
          <w:tcPr>
            <w:tcW w:w="1262" w:type="dxa"/>
          </w:tcPr>
          <w:p>
            <w:pPr>
              <w:pStyle w:val="TableParagraph"/>
              <w:spacing w:line="247" w:lineRule="exact" w:before="49"/>
              <w:ind w:left="105"/>
              <w:jc w:val="left"/>
              <w:rPr>
                <w:rFonts w:ascii="Calibri"/>
                <w:sz w:val="22"/>
              </w:rPr>
            </w:pPr>
            <w:r>
              <w:rPr>
                <w:rFonts w:ascii="Calibri"/>
                <w:sz w:val="22"/>
              </w:rPr>
              <w:t>SMBR</w:t>
            </w:r>
          </w:p>
        </w:tc>
        <w:tc>
          <w:tcPr>
            <w:tcW w:w="960" w:type="dxa"/>
          </w:tcPr>
          <w:p>
            <w:pPr>
              <w:pStyle w:val="TableParagraph"/>
              <w:spacing w:line="247" w:lineRule="exact" w:before="49"/>
              <w:ind w:right="97"/>
              <w:rPr>
                <w:rFonts w:ascii="Calibri"/>
                <w:sz w:val="22"/>
              </w:rPr>
            </w:pPr>
            <w:r>
              <w:rPr>
                <w:rFonts w:ascii="Calibri"/>
                <w:sz w:val="22"/>
              </w:rPr>
              <w:t>256</w:t>
            </w:r>
          </w:p>
        </w:tc>
        <w:tc>
          <w:tcPr>
            <w:tcW w:w="960" w:type="dxa"/>
          </w:tcPr>
          <w:p>
            <w:pPr>
              <w:pStyle w:val="TableParagraph"/>
              <w:spacing w:line="247" w:lineRule="exact" w:before="49"/>
              <w:ind w:right="97"/>
              <w:rPr>
                <w:rFonts w:ascii="Calibri"/>
                <w:sz w:val="22"/>
              </w:rPr>
            </w:pPr>
            <w:r>
              <w:rPr>
                <w:rFonts w:ascii="Calibri"/>
                <w:sz w:val="22"/>
              </w:rPr>
              <w:t>330</w:t>
            </w:r>
          </w:p>
        </w:tc>
        <w:tc>
          <w:tcPr>
            <w:tcW w:w="961" w:type="dxa"/>
          </w:tcPr>
          <w:p>
            <w:pPr>
              <w:pStyle w:val="TableParagraph"/>
              <w:spacing w:line="247" w:lineRule="exact" w:before="49"/>
              <w:ind w:right="97"/>
              <w:rPr>
                <w:rFonts w:ascii="Calibri"/>
                <w:sz w:val="22"/>
              </w:rPr>
            </w:pPr>
            <w:r>
              <w:rPr>
                <w:rFonts w:ascii="Calibri"/>
                <w:sz w:val="22"/>
              </w:rPr>
              <w:t>381</w:t>
            </w:r>
          </w:p>
        </w:tc>
        <w:tc>
          <w:tcPr>
            <w:tcW w:w="961" w:type="dxa"/>
          </w:tcPr>
          <w:p>
            <w:pPr>
              <w:pStyle w:val="TableParagraph"/>
              <w:spacing w:line="247" w:lineRule="exact" w:before="49"/>
              <w:ind w:right="98"/>
              <w:rPr>
                <w:rFonts w:ascii="Calibri"/>
                <w:sz w:val="22"/>
              </w:rPr>
            </w:pPr>
            <w:r>
              <w:rPr>
                <w:rFonts w:ascii="Calibri"/>
                <w:sz w:val="22"/>
              </w:rPr>
              <w:t>291</w:t>
            </w:r>
          </w:p>
        </w:tc>
        <w:tc>
          <w:tcPr>
            <w:tcW w:w="961" w:type="dxa"/>
          </w:tcPr>
          <w:p>
            <w:pPr>
              <w:pStyle w:val="TableParagraph"/>
              <w:spacing w:line="247" w:lineRule="exact" w:before="49"/>
              <w:ind w:right="99"/>
              <w:rPr>
                <w:rFonts w:ascii="Calibri"/>
                <w:sz w:val="22"/>
              </w:rPr>
            </w:pPr>
            <w:r>
              <w:rPr>
                <w:rFonts w:ascii="Calibri"/>
                <w:sz w:val="22"/>
              </w:rPr>
              <w:t>2,790</w:t>
            </w:r>
          </w:p>
        </w:tc>
        <w:tc>
          <w:tcPr>
            <w:tcW w:w="961" w:type="dxa"/>
          </w:tcPr>
          <w:p>
            <w:pPr>
              <w:pStyle w:val="TableParagraph"/>
              <w:spacing w:line="247" w:lineRule="exact" w:before="49"/>
              <w:ind w:right="100"/>
              <w:rPr>
                <w:rFonts w:ascii="Calibri"/>
                <w:sz w:val="22"/>
              </w:rPr>
            </w:pPr>
            <w:r>
              <w:rPr>
                <w:rFonts w:ascii="Calibri"/>
                <w:sz w:val="22"/>
              </w:rPr>
              <w:t>3,800</w:t>
            </w:r>
          </w:p>
        </w:tc>
        <w:tc>
          <w:tcPr>
            <w:tcW w:w="961" w:type="dxa"/>
          </w:tcPr>
          <w:p>
            <w:pPr>
              <w:pStyle w:val="TableParagraph"/>
              <w:spacing w:line="247" w:lineRule="exact" w:before="49"/>
              <w:ind w:right="99"/>
              <w:rPr>
                <w:rFonts w:ascii="Calibri"/>
                <w:sz w:val="22"/>
              </w:rPr>
            </w:pPr>
            <w:r>
              <w:rPr>
                <w:rFonts w:ascii="Calibri"/>
                <w:sz w:val="22"/>
              </w:rPr>
              <w:t>1,750</w:t>
            </w:r>
          </w:p>
        </w:tc>
      </w:tr>
      <w:tr>
        <w:trPr>
          <w:trHeight w:val="316" w:hRule="atLeast"/>
        </w:trPr>
        <w:tc>
          <w:tcPr>
            <w:tcW w:w="965" w:type="dxa"/>
          </w:tcPr>
          <w:p>
            <w:pPr>
              <w:pStyle w:val="TableParagraph"/>
              <w:spacing w:line="240" w:lineRule="auto" w:before="25"/>
              <w:ind w:left="10"/>
              <w:jc w:val="center"/>
              <w:rPr>
                <w:rFonts w:ascii="Calibri"/>
                <w:sz w:val="22"/>
              </w:rPr>
            </w:pPr>
            <w:r>
              <w:rPr>
                <w:rFonts w:ascii="Calibri"/>
                <w:w w:val="100"/>
                <w:sz w:val="22"/>
              </w:rPr>
              <w:t>3</w:t>
            </w:r>
          </w:p>
        </w:tc>
        <w:tc>
          <w:tcPr>
            <w:tcW w:w="1262" w:type="dxa"/>
          </w:tcPr>
          <w:p>
            <w:pPr>
              <w:pStyle w:val="TableParagraph"/>
              <w:spacing w:line="247" w:lineRule="exact" w:before="49"/>
              <w:ind w:left="105"/>
              <w:jc w:val="left"/>
              <w:rPr>
                <w:rFonts w:ascii="Calibri"/>
                <w:sz w:val="22"/>
              </w:rPr>
            </w:pPr>
            <w:r>
              <w:rPr>
                <w:rFonts w:ascii="Calibri"/>
                <w:sz w:val="22"/>
              </w:rPr>
              <w:t>SMCB</w:t>
            </w:r>
          </w:p>
        </w:tc>
        <w:tc>
          <w:tcPr>
            <w:tcW w:w="960" w:type="dxa"/>
          </w:tcPr>
          <w:p>
            <w:pPr>
              <w:pStyle w:val="TableParagraph"/>
              <w:spacing w:line="247" w:lineRule="exact" w:before="49"/>
              <w:ind w:right="97"/>
              <w:rPr>
                <w:rFonts w:ascii="Calibri"/>
                <w:sz w:val="22"/>
              </w:rPr>
            </w:pPr>
            <w:r>
              <w:rPr>
                <w:rFonts w:ascii="Calibri"/>
                <w:sz w:val="22"/>
              </w:rPr>
              <w:t>2,900</w:t>
            </w:r>
          </w:p>
        </w:tc>
        <w:tc>
          <w:tcPr>
            <w:tcW w:w="960" w:type="dxa"/>
          </w:tcPr>
          <w:p>
            <w:pPr>
              <w:pStyle w:val="TableParagraph"/>
              <w:spacing w:line="247" w:lineRule="exact" w:before="49"/>
              <w:ind w:right="97"/>
              <w:rPr>
                <w:rFonts w:ascii="Calibri"/>
                <w:sz w:val="22"/>
              </w:rPr>
            </w:pPr>
            <w:r>
              <w:rPr>
                <w:rFonts w:ascii="Calibri"/>
                <w:sz w:val="22"/>
              </w:rPr>
              <w:t>2,275</w:t>
            </w:r>
          </w:p>
        </w:tc>
        <w:tc>
          <w:tcPr>
            <w:tcW w:w="961" w:type="dxa"/>
          </w:tcPr>
          <w:p>
            <w:pPr>
              <w:pStyle w:val="TableParagraph"/>
              <w:spacing w:line="247" w:lineRule="exact" w:before="49"/>
              <w:ind w:right="96"/>
              <w:rPr>
                <w:rFonts w:ascii="Calibri"/>
                <w:sz w:val="22"/>
              </w:rPr>
            </w:pPr>
            <w:r>
              <w:rPr>
                <w:rFonts w:ascii="Calibri"/>
                <w:sz w:val="22"/>
              </w:rPr>
              <w:t>2,185</w:t>
            </w:r>
          </w:p>
        </w:tc>
        <w:tc>
          <w:tcPr>
            <w:tcW w:w="961" w:type="dxa"/>
          </w:tcPr>
          <w:p>
            <w:pPr>
              <w:pStyle w:val="TableParagraph"/>
              <w:spacing w:line="247" w:lineRule="exact" w:before="49"/>
              <w:ind w:right="98"/>
              <w:rPr>
                <w:rFonts w:ascii="Calibri"/>
                <w:sz w:val="22"/>
              </w:rPr>
            </w:pPr>
            <w:r>
              <w:rPr>
                <w:rFonts w:ascii="Calibri"/>
                <w:sz w:val="22"/>
              </w:rPr>
              <w:t>995</w:t>
            </w:r>
          </w:p>
        </w:tc>
        <w:tc>
          <w:tcPr>
            <w:tcW w:w="961" w:type="dxa"/>
          </w:tcPr>
          <w:p>
            <w:pPr>
              <w:pStyle w:val="TableParagraph"/>
              <w:spacing w:line="247" w:lineRule="exact" w:before="49"/>
              <w:ind w:right="99"/>
              <w:rPr>
                <w:rFonts w:ascii="Calibri"/>
                <w:sz w:val="22"/>
              </w:rPr>
            </w:pPr>
            <w:r>
              <w:rPr>
                <w:rFonts w:ascii="Calibri"/>
                <w:sz w:val="22"/>
              </w:rPr>
              <w:t>900</w:t>
            </w:r>
          </w:p>
        </w:tc>
        <w:tc>
          <w:tcPr>
            <w:tcW w:w="961" w:type="dxa"/>
          </w:tcPr>
          <w:p>
            <w:pPr>
              <w:pStyle w:val="TableParagraph"/>
              <w:spacing w:line="247" w:lineRule="exact" w:before="49"/>
              <w:ind w:right="100"/>
              <w:rPr>
                <w:rFonts w:ascii="Calibri"/>
                <w:sz w:val="22"/>
              </w:rPr>
            </w:pPr>
            <w:r>
              <w:rPr>
                <w:rFonts w:ascii="Calibri"/>
                <w:sz w:val="22"/>
              </w:rPr>
              <w:t>835</w:t>
            </w:r>
          </w:p>
        </w:tc>
        <w:tc>
          <w:tcPr>
            <w:tcW w:w="961" w:type="dxa"/>
          </w:tcPr>
          <w:p>
            <w:pPr>
              <w:pStyle w:val="TableParagraph"/>
              <w:spacing w:line="247" w:lineRule="exact" w:before="49"/>
              <w:ind w:right="99"/>
              <w:rPr>
                <w:rFonts w:ascii="Calibri"/>
                <w:sz w:val="22"/>
              </w:rPr>
            </w:pPr>
            <w:r>
              <w:rPr>
                <w:rFonts w:ascii="Calibri"/>
                <w:sz w:val="22"/>
              </w:rPr>
              <w:t>1,885</w:t>
            </w:r>
          </w:p>
        </w:tc>
      </w:tr>
      <w:tr>
        <w:trPr>
          <w:trHeight w:val="316" w:hRule="atLeast"/>
        </w:trPr>
        <w:tc>
          <w:tcPr>
            <w:tcW w:w="965" w:type="dxa"/>
          </w:tcPr>
          <w:p>
            <w:pPr>
              <w:pStyle w:val="TableParagraph"/>
              <w:spacing w:line="240" w:lineRule="auto" w:before="25"/>
              <w:ind w:left="10"/>
              <w:jc w:val="center"/>
              <w:rPr>
                <w:rFonts w:ascii="Calibri"/>
                <w:sz w:val="22"/>
              </w:rPr>
            </w:pPr>
            <w:r>
              <w:rPr>
                <w:rFonts w:ascii="Calibri"/>
                <w:w w:val="100"/>
                <w:sz w:val="22"/>
              </w:rPr>
              <w:t>4</w:t>
            </w:r>
          </w:p>
        </w:tc>
        <w:tc>
          <w:tcPr>
            <w:tcW w:w="1262" w:type="dxa"/>
          </w:tcPr>
          <w:p>
            <w:pPr>
              <w:pStyle w:val="TableParagraph"/>
              <w:spacing w:line="247" w:lineRule="exact" w:before="50"/>
              <w:ind w:left="105"/>
              <w:jc w:val="left"/>
              <w:rPr>
                <w:rFonts w:ascii="Calibri"/>
                <w:sz w:val="22"/>
              </w:rPr>
            </w:pPr>
            <w:r>
              <w:rPr>
                <w:rFonts w:ascii="Calibri"/>
                <w:sz w:val="22"/>
              </w:rPr>
              <w:t>SMGR</w:t>
            </w:r>
          </w:p>
        </w:tc>
        <w:tc>
          <w:tcPr>
            <w:tcW w:w="960" w:type="dxa"/>
          </w:tcPr>
          <w:p>
            <w:pPr>
              <w:pStyle w:val="TableParagraph"/>
              <w:spacing w:line="247" w:lineRule="exact" w:before="50"/>
              <w:ind w:right="96"/>
              <w:rPr>
                <w:rFonts w:ascii="Calibri"/>
                <w:sz w:val="22"/>
              </w:rPr>
            </w:pPr>
            <w:r>
              <w:rPr>
                <w:rFonts w:ascii="Calibri"/>
                <w:sz w:val="22"/>
              </w:rPr>
              <w:t>15,700</w:t>
            </w:r>
          </w:p>
        </w:tc>
        <w:tc>
          <w:tcPr>
            <w:tcW w:w="960" w:type="dxa"/>
          </w:tcPr>
          <w:p>
            <w:pPr>
              <w:pStyle w:val="TableParagraph"/>
              <w:spacing w:line="247" w:lineRule="exact" w:before="50"/>
              <w:ind w:right="96"/>
              <w:rPr>
                <w:rFonts w:ascii="Calibri"/>
                <w:sz w:val="22"/>
              </w:rPr>
            </w:pPr>
            <w:r>
              <w:rPr>
                <w:rFonts w:ascii="Calibri"/>
                <w:sz w:val="22"/>
              </w:rPr>
              <w:t>14,150</w:t>
            </w:r>
          </w:p>
        </w:tc>
        <w:tc>
          <w:tcPr>
            <w:tcW w:w="961" w:type="dxa"/>
          </w:tcPr>
          <w:p>
            <w:pPr>
              <w:pStyle w:val="TableParagraph"/>
              <w:spacing w:line="247" w:lineRule="exact" w:before="50"/>
              <w:ind w:right="96"/>
              <w:rPr>
                <w:rFonts w:ascii="Calibri"/>
                <w:sz w:val="22"/>
              </w:rPr>
            </w:pPr>
            <w:r>
              <w:rPr>
                <w:rFonts w:ascii="Calibri"/>
                <w:sz w:val="22"/>
              </w:rPr>
              <w:t>16,200</w:t>
            </w:r>
          </w:p>
        </w:tc>
        <w:tc>
          <w:tcPr>
            <w:tcW w:w="961" w:type="dxa"/>
          </w:tcPr>
          <w:p>
            <w:pPr>
              <w:pStyle w:val="TableParagraph"/>
              <w:spacing w:line="247" w:lineRule="exact" w:before="50"/>
              <w:ind w:right="97"/>
              <w:rPr>
                <w:rFonts w:ascii="Calibri"/>
                <w:sz w:val="22"/>
              </w:rPr>
            </w:pPr>
            <w:r>
              <w:rPr>
                <w:rFonts w:ascii="Calibri"/>
                <w:sz w:val="22"/>
              </w:rPr>
              <w:t>11,400</w:t>
            </w:r>
          </w:p>
        </w:tc>
        <w:tc>
          <w:tcPr>
            <w:tcW w:w="961" w:type="dxa"/>
          </w:tcPr>
          <w:p>
            <w:pPr>
              <w:pStyle w:val="TableParagraph"/>
              <w:spacing w:line="247" w:lineRule="exact" w:before="50"/>
              <w:ind w:right="99"/>
              <w:rPr>
                <w:rFonts w:ascii="Calibri"/>
                <w:sz w:val="22"/>
              </w:rPr>
            </w:pPr>
            <w:r>
              <w:rPr>
                <w:rFonts w:ascii="Calibri"/>
                <w:sz w:val="22"/>
              </w:rPr>
              <w:t>9,175</w:t>
            </w:r>
          </w:p>
        </w:tc>
        <w:tc>
          <w:tcPr>
            <w:tcW w:w="961" w:type="dxa"/>
          </w:tcPr>
          <w:p>
            <w:pPr>
              <w:pStyle w:val="TableParagraph"/>
              <w:spacing w:line="247" w:lineRule="exact" w:before="50"/>
              <w:ind w:right="100"/>
              <w:rPr>
                <w:rFonts w:ascii="Calibri"/>
                <w:sz w:val="22"/>
              </w:rPr>
            </w:pPr>
            <w:r>
              <w:rPr>
                <w:rFonts w:ascii="Calibri"/>
                <w:sz w:val="22"/>
              </w:rPr>
              <w:t>9,900</w:t>
            </w:r>
          </w:p>
        </w:tc>
        <w:tc>
          <w:tcPr>
            <w:tcW w:w="961" w:type="dxa"/>
          </w:tcPr>
          <w:p>
            <w:pPr>
              <w:pStyle w:val="TableParagraph"/>
              <w:spacing w:line="247" w:lineRule="exact" w:before="50"/>
              <w:ind w:right="99"/>
              <w:rPr>
                <w:rFonts w:ascii="Calibri"/>
                <w:sz w:val="22"/>
              </w:rPr>
            </w:pPr>
            <w:r>
              <w:rPr>
                <w:rFonts w:ascii="Calibri"/>
                <w:sz w:val="22"/>
              </w:rPr>
              <w:t>11,500</w:t>
            </w:r>
          </w:p>
        </w:tc>
      </w:tr>
      <w:tr>
        <w:trPr>
          <w:trHeight w:val="311" w:hRule="atLeast"/>
        </w:trPr>
        <w:tc>
          <w:tcPr>
            <w:tcW w:w="965" w:type="dxa"/>
          </w:tcPr>
          <w:p>
            <w:pPr>
              <w:pStyle w:val="TableParagraph"/>
              <w:spacing w:line="240" w:lineRule="auto" w:before="20"/>
              <w:ind w:left="10"/>
              <w:jc w:val="center"/>
              <w:rPr>
                <w:rFonts w:ascii="Calibri"/>
                <w:sz w:val="22"/>
              </w:rPr>
            </w:pPr>
            <w:r>
              <w:rPr>
                <w:rFonts w:ascii="Calibri"/>
                <w:w w:val="100"/>
                <w:sz w:val="22"/>
              </w:rPr>
              <w:t>5</w:t>
            </w:r>
          </w:p>
        </w:tc>
        <w:tc>
          <w:tcPr>
            <w:tcW w:w="1262" w:type="dxa"/>
          </w:tcPr>
          <w:p>
            <w:pPr>
              <w:pStyle w:val="TableParagraph"/>
              <w:spacing w:line="247" w:lineRule="exact" w:before="44"/>
              <w:ind w:left="105"/>
              <w:jc w:val="left"/>
              <w:rPr>
                <w:rFonts w:ascii="Calibri"/>
                <w:sz w:val="22"/>
              </w:rPr>
            </w:pPr>
            <w:r>
              <w:rPr>
                <w:rFonts w:ascii="Calibri"/>
                <w:sz w:val="22"/>
              </w:rPr>
              <w:t>WTON</w:t>
            </w:r>
          </w:p>
        </w:tc>
        <w:tc>
          <w:tcPr>
            <w:tcW w:w="960" w:type="dxa"/>
          </w:tcPr>
          <w:p>
            <w:pPr>
              <w:pStyle w:val="TableParagraph"/>
              <w:spacing w:line="247" w:lineRule="exact" w:before="44"/>
              <w:ind w:right="97"/>
              <w:rPr>
                <w:rFonts w:ascii="Calibri"/>
                <w:sz w:val="22"/>
              </w:rPr>
            </w:pPr>
            <w:r>
              <w:rPr>
                <w:rFonts w:ascii="Calibri"/>
                <w:sz w:val="22"/>
              </w:rPr>
              <w:t>450</w:t>
            </w:r>
          </w:p>
        </w:tc>
        <w:tc>
          <w:tcPr>
            <w:tcW w:w="960" w:type="dxa"/>
          </w:tcPr>
          <w:p>
            <w:pPr>
              <w:pStyle w:val="TableParagraph"/>
              <w:spacing w:line="247" w:lineRule="exact" w:before="44"/>
              <w:ind w:right="97"/>
              <w:rPr>
                <w:rFonts w:ascii="Calibri"/>
                <w:sz w:val="22"/>
              </w:rPr>
            </w:pPr>
            <w:r>
              <w:rPr>
                <w:rFonts w:ascii="Calibri"/>
                <w:sz w:val="22"/>
              </w:rPr>
              <w:t>735</w:t>
            </w:r>
          </w:p>
        </w:tc>
        <w:tc>
          <w:tcPr>
            <w:tcW w:w="961" w:type="dxa"/>
          </w:tcPr>
          <w:p>
            <w:pPr>
              <w:pStyle w:val="TableParagraph"/>
              <w:spacing w:line="247" w:lineRule="exact" w:before="44"/>
              <w:ind w:right="96"/>
              <w:rPr>
                <w:rFonts w:ascii="Calibri"/>
                <w:sz w:val="22"/>
              </w:rPr>
            </w:pPr>
            <w:r>
              <w:rPr>
                <w:rFonts w:ascii="Calibri"/>
                <w:sz w:val="22"/>
              </w:rPr>
              <w:t>1,300</w:t>
            </w:r>
          </w:p>
        </w:tc>
        <w:tc>
          <w:tcPr>
            <w:tcW w:w="961" w:type="dxa"/>
          </w:tcPr>
          <w:p>
            <w:pPr>
              <w:pStyle w:val="TableParagraph"/>
              <w:spacing w:line="247" w:lineRule="exact" w:before="44"/>
              <w:ind w:right="98"/>
              <w:rPr>
                <w:rFonts w:ascii="Calibri"/>
                <w:sz w:val="22"/>
              </w:rPr>
            </w:pPr>
            <w:r>
              <w:rPr>
                <w:rFonts w:ascii="Calibri"/>
                <w:sz w:val="22"/>
              </w:rPr>
              <w:t>825</w:t>
            </w:r>
          </w:p>
        </w:tc>
        <w:tc>
          <w:tcPr>
            <w:tcW w:w="961" w:type="dxa"/>
          </w:tcPr>
          <w:p>
            <w:pPr>
              <w:pStyle w:val="TableParagraph"/>
              <w:spacing w:line="247" w:lineRule="exact" w:before="44"/>
              <w:ind w:right="99"/>
              <w:rPr>
                <w:rFonts w:ascii="Calibri"/>
                <w:sz w:val="22"/>
              </w:rPr>
            </w:pPr>
            <w:r>
              <w:rPr>
                <w:rFonts w:ascii="Calibri"/>
                <w:sz w:val="22"/>
              </w:rPr>
              <w:t>825</w:t>
            </w:r>
          </w:p>
        </w:tc>
        <w:tc>
          <w:tcPr>
            <w:tcW w:w="961" w:type="dxa"/>
          </w:tcPr>
          <w:p>
            <w:pPr>
              <w:pStyle w:val="TableParagraph"/>
              <w:spacing w:line="247" w:lineRule="exact" w:before="44"/>
              <w:ind w:right="100"/>
              <w:rPr>
                <w:rFonts w:ascii="Calibri"/>
                <w:sz w:val="22"/>
              </w:rPr>
            </w:pPr>
            <w:r>
              <w:rPr>
                <w:rFonts w:ascii="Calibri"/>
                <w:sz w:val="22"/>
              </w:rPr>
              <w:t>500</w:t>
            </w:r>
          </w:p>
        </w:tc>
        <w:tc>
          <w:tcPr>
            <w:tcW w:w="961" w:type="dxa"/>
          </w:tcPr>
          <w:p>
            <w:pPr>
              <w:pStyle w:val="TableParagraph"/>
              <w:spacing w:line="247" w:lineRule="exact" w:before="44"/>
              <w:ind w:right="101"/>
              <w:rPr>
                <w:rFonts w:ascii="Calibri"/>
                <w:sz w:val="22"/>
              </w:rPr>
            </w:pPr>
            <w:r>
              <w:rPr>
                <w:rFonts w:ascii="Calibri"/>
                <w:sz w:val="22"/>
              </w:rPr>
              <w:t>376</w:t>
            </w:r>
          </w:p>
        </w:tc>
      </w:tr>
    </w:tbl>
    <w:p>
      <w:pPr>
        <w:spacing w:after="0" w:line="247" w:lineRule="exact"/>
        <w:rPr>
          <w:rFonts w:ascii="Calibri"/>
          <w:sz w:val="22"/>
        </w:rPr>
        <w:sectPr>
          <w:pgSz w:w="16840" w:h="11910" w:orient="landscape"/>
          <w:pgMar w:header="0" w:footer="913" w:top="1100" w:bottom="1100" w:left="1480" w:right="2420"/>
        </w:sectPr>
      </w:pPr>
    </w:p>
    <w:p>
      <w:pPr>
        <w:spacing w:before="107"/>
        <w:ind w:left="119" w:right="0" w:firstLine="0"/>
        <w:jc w:val="left"/>
        <w:rPr>
          <w:rFonts w:ascii="Calibri"/>
          <w:sz w:val="22"/>
        </w:rPr>
      </w:pPr>
      <w:r>
        <w:rPr>
          <w:rFonts w:ascii="Calibri"/>
          <w:sz w:val="22"/>
        </w:rPr>
        <w:t>Uji Deskriptif</w:t>
      </w:r>
    </w:p>
    <w:p>
      <w:pPr>
        <w:pStyle w:val="BodyText"/>
        <w:rPr>
          <w:rFonts w:ascii="Calibri"/>
          <w:sz w:val="20"/>
        </w:rPr>
      </w:pPr>
    </w:p>
    <w:p>
      <w:pPr>
        <w:pStyle w:val="BodyText"/>
        <w:rPr>
          <w:rFonts w:ascii="Calibri"/>
          <w:sz w:val="22"/>
        </w:rPr>
      </w:pPr>
    </w:p>
    <w:p>
      <w:pPr>
        <w:spacing w:before="0" w:after="7"/>
        <w:ind w:left="2770" w:right="0" w:firstLine="0"/>
        <w:jc w:val="left"/>
        <w:rPr>
          <w:rFonts w:ascii="Arial"/>
          <w:b/>
          <w:sz w:val="22"/>
        </w:rPr>
      </w:pPr>
      <w:r>
        <w:rPr>
          <w:rFonts w:ascii="Arial"/>
          <w:b/>
          <w:color w:val="000104"/>
          <w:sz w:val="22"/>
        </w:rPr>
        <w:t>Descriptive Statistics</w:t>
      </w:r>
    </w:p>
    <w:tbl>
      <w:tblPr>
        <w:tblW w:w="0" w:type="auto"/>
        <w:jc w:val="left"/>
        <w:tblInd w:w="12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1700"/>
        <w:gridCol w:w="1023"/>
        <w:gridCol w:w="1070"/>
        <w:gridCol w:w="1104"/>
        <w:gridCol w:w="1190"/>
        <w:gridCol w:w="1440"/>
      </w:tblGrid>
      <w:tr>
        <w:trPr>
          <w:trHeight w:val="321" w:hRule="atLeast"/>
        </w:trPr>
        <w:tc>
          <w:tcPr>
            <w:tcW w:w="2723" w:type="dxa"/>
            <w:gridSpan w:val="2"/>
            <w:tcBorders>
              <w:top w:val="nil"/>
              <w:left w:val="nil"/>
              <w:right w:val="single" w:sz="8" w:space="0" w:color="DFDFDF"/>
            </w:tcBorders>
          </w:tcPr>
          <w:p>
            <w:pPr>
              <w:pStyle w:val="TableParagraph"/>
              <w:spacing w:line="192" w:lineRule="exact" w:before="109"/>
              <w:ind w:right="437"/>
              <w:rPr>
                <w:rFonts w:ascii="Arial"/>
                <w:sz w:val="18"/>
              </w:rPr>
            </w:pPr>
            <w:r>
              <w:rPr>
                <w:rFonts w:ascii="Arial"/>
                <w:color w:val="25495F"/>
                <w:w w:val="101"/>
                <w:sz w:val="18"/>
              </w:rPr>
              <w:t>N</w:t>
            </w:r>
          </w:p>
        </w:tc>
        <w:tc>
          <w:tcPr>
            <w:tcW w:w="1070" w:type="dxa"/>
            <w:tcBorders>
              <w:top w:val="nil"/>
              <w:left w:val="single" w:sz="8" w:space="0" w:color="DFDFDF"/>
              <w:right w:val="single" w:sz="8" w:space="0" w:color="DFDFDF"/>
            </w:tcBorders>
          </w:tcPr>
          <w:p>
            <w:pPr>
              <w:pStyle w:val="TableParagraph"/>
              <w:spacing w:line="192" w:lineRule="exact" w:before="109"/>
              <w:ind w:left="158"/>
              <w:jc w:val="left"/>
              <w:rPr>
                <w:rFonts w:ascii="Arial"/>
                <w:sz w:val="18"/>
              </w:rPr>
            </w:pPr>
            <w:r>
              <w:rPr>
                <w:rFonts w:ascii="Arial"/>
                <w:color w:val="25495F"/>
                <w:sz w:val="18"/>
              </w:rPr>
              <w:t>Minimum</w:t>
            </w:r>
          </w:p>
        </w:tc>
        <w:tc>
          <w:tcPr>
            <w:tcW w:w="1104" w:type="dxa"/>
            <w:tcBorders>
              <w:top w:val="nil"/>
              <w:left w:val="single" w:sz="8" w:space="0" w:color="DFDFDF"/>
              <w:right w:val="single" w:sz="8" w:space="0" w:color="DFDFDF"/>
            </w:tcBorders>
          </w:tcPr>
          <w:p>
            <w:pPr>
              <w:pStyle w:val="TableParagraph"/>
              <w:spacing w:line="192" w:lineRule="exact" w:before="109"/>
              <w:ind w:left="154"/>
              <w:jc w:val="left"/>
              <w:rPr>
                <w:rFonts w:ascii="Arial"/>
                <w:sz w:val="18"/>
              </w:rPr>
            </w:pPr>
            <w:r>
              <w:rPr>
                <w:rFonts w:ascii="Arial"/>
                <w:color w:val="25495F"/>
                <w:sz w:val="18"/>
              </w:rPr>
              <w:t>Maximum</w:t>
            </w:r>
          </w:p>
        </w:tc>
        <w:tc>
          <w:tcPr>
            <w:tcW w:w="1190" w:type="dxa"/>
            <w:tcBorders>
              <w:top w:val="nil"/>
              <w:left w:val="single" w:sz="8" w:space="0" w:color="DFDFDF"/>
              <w:right w:val="single" w:sz="8" w:space="0" w:color="DFDFDF"/>
            </w:tcBorders>
          </w:tcPr>
          <w:p>
            <w:pPr>
              <w:pStyle w:val="TableParagraph"/>
              <w:spacing w:line="192" w:lineRule="exact" w:before="109"/>
              <w:ind w:left="360"/>
              <w:jc w:val="left"/>
              <w:rPr>
                <w:rFonts w:ascii="Arial"/>
                <w:sz w:val="18"/>
              </w:rPr>
            </w:pPr>
            <w:r>
              <w:rPr>
                <w:rFonts w:ascii="Arial"/>
                <w:color w:val="25495F"/>
                <w:sz w:val="18"/>
              </w:rPr>
              <w:t>Mean</w:t>
            </w:r>
          </w:p>
        </w:tc>
        <w:tc>
          <w:tcPr>
            <w:tcW w:w="1440" w:type="dxa"/>
            <w:tcBorders>
              <w:top w:val="nil"/>
              <w:left w:val="single" w:sz="8" w:space="0" w:color="DFDFDF"/>
              <w:right w:val="nil"/>
            </w:tcBorders>
          </w:tcPr>
          <w:p>
            <w:pPr>
              <w:pStyle w:val="TableParagraph"/>
              <w:spacing w:line="192" w:lineRule="exact" w:before="109"/>
              <w:ind w:left="159"/>
              <w:jc w:val="left"/>
              <w:rPr>
                <w:rFonts w:ascii="Arial"/>
                <w:sz w:val="18"/>
              </w:rPr>
            </w:pPr>
            <w:r>
              <w:rPr>
                <w:rFonts w:ascii="Arial"/>
                <w:color w:val="25495F"/>
                <w:sz w:val="18"/>
              </w:rPr>
              <w:t>Std. Deviation</w:t>
            </w:r>
          </w:p>
        </w:tc>
      </w:tr>
      <w:tr>
        <w:trPr>
          <w:trHeight w:val="320" w:hRule="atLeast"/>
        </w:trPr>
        <w:tc>
          <w:tcPr>
            <w:tcW w:w="1700" w:type="dxa"/>
            <w:tcBorders>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Return On Asset</w:t>
            </w:r>
          </w:p>
        </w:tc>
        <w:tc>
          <w:tcPr>
            <w:tcW w:w="1023" w:type="dxa"/>
            <w:tcBorders>
              <w:left w:val="nil"/>
              <w:bottom w:val="single" w:sz="8" w:space="0" w:color="ADADAD"/>
              <w:right w:val="single" w:sz="8" w:space="0" w:color="DFDFDF"/>
            </w:tcBorders>
          </w:tcPr>
          <w:p>
            <w:pPr>
              <w:pStyle w:val="TableParagraph"/>
              <w:spacing w:line="192" w:lineRule="exact" w:before="109"/>
              <w:ind w:right="55"/>
              <w:rPr>
                <w:rFonts w:ascii="Arial"/>
                <w:sz w:val="18"/>
              </w:rPr>
            </w:pPr>
            <w:r>
              <w:rPr>
                <w:rFonts w:ascii="Arial"/>
                <w:color w:val="000104"/>
                <w:sz w:val="18"/>
              </w:rPr>
              <w:t>35</w:t>
            </w:r>
          </w:p>
        </w:tc>
        <w:tc>
          <w:tcPr>
            <w:tcW w:w="1070" w:type="dxa"/>
            <w:tcBorders>
              <w:left w:val="single" w:sz="8" w:space="0" w:color="DFDFDF"/>
              <w:bottom w:val="single" w:sz="8" w:space="0" w:color="ADADAD"/>
              <w:right w:val="single" w:sz="8" w:space="0" w:color="DFDFDF"/>
            </w:tcBorders>
          </w:tcPr>
          <w:p>
            <w:pPr>
              <w:pStyle w:val="TableParagraph"/>
              <w:spacing w:line="192" w:lineRule="exact" w:before="109"/>
              <w:ind w:right="54"/>
              <w:rPr>
                <w:rFonts w:ascii="Arial"/>
                <w:sz w:val="18"/>
              </w:rPr>
            </w:pPr>
            <w:r>
              <w:rPr>
                <w:rFonts w:ascii="Arial"/>
                <w:color w:val="000104"/>
                <w:sz w:val="18"/>
              </w:rPr>
              <w:t>-4.44</w:t>
            </w:r>
          </w:p>
        </w:tc>
        <w:tc>
          <w:tcPr>
            <w:tcW w:w="1104" w:type="dxa"/>
            <w:tcBorders>
              <w:left w:val="single" w:sz="8" w:space="0" w:color="DFDFDF"/>
              <w:bottom w:val="single" w:sz="8" w:space="0" w:color="ADADAD"/>
              <w:right w:val="single" w:sz="8" w:space="0" w:color="DFDFDF"/>
            </w:tcBorders>
          </w:tcPr>
          <w:p>
            <w:pPr>
              <w:pStyle w:val="TableParagraph"/>
              <w:spacing w:line="192" w:lineRule="exact" w:before="109"/>
              <w:ind w:right="53"/>
              <w:rPr>
                <w:rFonts w:ascii="Arial"/>
                <w:sz w:val="18"/>
              </w:rPr>
            </w:pPr>
            <w:r>
              <w:rPr>
                <w:rFonts w:ascii="Arial"/>
                <w:color w:val="000104"/>
                <w:sz w:val="18"/>
              </w:rPr>
              <w:t>24.91</w:t>
            </w:r>
          </w:p>
        </w:tc>
        <w:tc>
          <w:tcPr>
            <w:tcW w:w="1190" w:type="dxa"/>
            <w:tcBorders>
              <w:left w:val="single" w:sz="8" w:space="0" w:color="DFDFDF"/>
              <w:bottom w:val="single" w:sz="8" w:space="0" w:color="ADADAD"/>
              <w:right w:val="single" w:sz="8" w:space="0" w:color="DFDFDF"/>
            </w:tcBorders>
          </w:tcPr>
          <w:p>
            <w:pPr>
              <w:pStyle w:val="TableParagraph"/>
              <w:spacing w:line="192" w:lineRule="exact" w:before="109"/>
              <w:ind w:right="48"/>
              <w:rPr>
                <w:rFonts w:ascii="Arial"/>
                <w:sz w:val="18"/>
              </w:rPr>
            </w:pPr>
            <w:r>
              <w:rPr>
                <w:rFonts w:ascii="Arial"/>
                <w:color w:val="000104"/>
                <w:sz w:val="18"/>
              </w:rPr>
              <w:t>8.5180</w:t>
            </w:r>
          </w:p>
        </w:tc>
        <w:tc>
          <w:tcPr>
            <w:tcW w:w="1440" w:type="dxa"/>
            <w:tcBorders>
              <w:left w:val="single" w:sz="8" w:space="0" w:color="DFDFDF"/>
              <w:bottom w:val="single" w:sz="8" w:space="0" w:color="ADADAD"/>
              <w:right w:val="nil"/>
            </w:tcBorders>
          </w:tcPr>
          <w:p>
            <w:pPr>
              <w:pStyle w:val="TableParagraph"/>
              <w:spacing w:line="192" w:lineRule="exact" w:before="109"/>
              <w:ind w:right="47"/>
              <w:rPr>
                <w:rFonts w:ascii="Arial"/>
                <w:sz w:val="18"/>
              </w:rPr>
            </w:pPr>
            <w:r>
              <w:rPr>
                <w:rFonts w:ascii="Arial"/>
                <w:color w:val="000104"/>
                <w:sz w:val="18"/>
              </w:rPr>
              <w:t>7.12182</w:t>
            </w:r>
          </w:p>
        </w:tc>
      </w:tr>
      <w:tr>
        <w:trPr>
          <w:trHeight w:val="320" w:hRule="atLeast"/>
        </w:trPr>
        <w:tc>
          <w:tcPr>
            <w:tcW w:w="1700"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Return On Equity</w:t>
            </w:r>
          </w:p>
        </w:tc>
        <w:tc>
          <w:tcPr>
            <w:tcW w:w="1023" w:type="dxa"/>
            <w:tcBorders>
              <w:top w:val="single" w:sz="8" w:space="0" w:color="ADADAD"/>
              <w:left w:val="nil"/>
              <w:bottom w:val="single" w:sz="8" w:space="0" w:color="ADADAD"/>
              <w:right w:val="single" w:sz="8" w:space="0" w:color="DFDFDF"/>
            </w:tcBorders>
          </w:tcPr>
          <w:p>
            <w:pPr>
              <w:pStyle w:val="TableParagraph"/>
              <w:spacing w:line="192" w:lineRule="exact" w:before="109"/>
              <w:ind w:right="55"/>
              <w:rPr>
                <w:rFonts w:ascii="Arial"/>
                <w:sz w:val="18"/>
              </w:rPr>
            </w:pPr>
            <w:r>
              <w:rPr>
                <w:rFonts w:ascii="Arial"/>
                <w:color w:val="000104"/>
                <w:sz w:val="18"/>
              </w:rPr>
              <w:t>35</w:t>
            </w:r>
          </w:p>
        </w:tc>
        <w:tc>
          <w:tcPr>
            <w:tcW w:w="1070"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3"/>
              <w:rPr>
                <w:rFonts w:ascii="Arial"/>
                <w:sz w:val="18"/>
              </w:rPr>
            </w:pPr>
            <w:r>
              <w:rPr>
                <w:rFonts w:ascii="Arial"/>
                <w:color w:val="000104"/>
                <w:sz w:val="18"/>
              </w:rPr>
              <w:t>-12.90</w:t>
            </w:r>
          </w:p>
        </w:tc>
        <w:tc>
          <w:tcPr>
            <w:tcW w:w="1104"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3"/>
              <w:rPr>
                <w:rFonts w:ascii="Arial"/>
                <w:sz w:val="18"/>
              </w:rPr>
            </w:pPr>
            <w:r>
              <w:rPr>
                <w:rFonts w:ascii="Arial"/>
                <w:color w:val="000104"/>
                <w:sz w:val="18"/>
              </w:rPr>
              <w:t>31.29</w:t>
            </w:r>
          </w:p>
        </w:tc>
        <w:tc>
          <w:tcPr>
            <w:tcW w:w="1190"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49"/>
              <w:rPr>
                <w:rFonts w:ascii="Arial"/>
                <w:sz w:val="18"/>
              </w:rPr>
            </w:pPr>
            <w:r>
              <w:rPr>
                <w:rFonts w:ascii="Arial"/>
                <w:color w:val="000104"/>
                <w:sz w:val="18"/>
              </w:rPr>
              <w:t>11.8386</w:t>
            </w:r>
          </w:p>
        </w:tc>
        <w:tc>
          <w:tcPr>
            <w:tcW w:w="1440" w:type="dxa"/>
            <w:tcBorders>
              <w:top w:val="single" w:sz="8" w:space="0" w:color="ADADAD"/>
              <w:left w:val="single" w:sz="8" w:space="0" w:color="DFDFDF"/>
              <w:bottom w:val="single" w:sz="8" w:space="0" w:color="ADADAD"/>
              <w:right w:val="nil"/>
            </w:tcBorders>
          </w:tcPr>
          <w:p>
            <w:pPr>
              <w:pStyle w:val="TableParagraph"/>
              <w:spacing w:line="192" w:lineRule="exact" w:before="109"/>
              <w:ind w:right="47"/>
              <w:rPr>
                <w:rFonts w:ascii="Arial"/>
                <w:sz w:val="18"/>
              </w:rPr>
            </w:pPr>
            <w:r>
              <w:rPr>
                <w:rFonts w:ascii="Arial"/>
                <w:color w:val="000104"/>
                <w:sz w:val="18"/>
              </w:rPr>
              <w:t>9.58866</w:t>
            </w:r>
          </w:p>
        </w:tc>
      </w:tr>
      <w:tr>
        <w:trPr>
          <w:trHeight w:val="315" w:hRule="atLeast"/>
        </w:trPr>
        <w:tc>
          <w:tcPr>
            <w:tcW w:w="1700"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2"/>
              <w:jc w:val="left"/>
              <w:rPr>
                <w:rFonts w:ascii="Arial"/>
                <w:sz w:val="18"/>
              </w:rPr>
            </w:pPr>
            <w:r>
              <w:rPr>
                <w:rFonts w:ascii="Arial"/>
                <w:color w:val="25495F"/>
                <w:sz w:val="18"/>
              </w:rPr>
              <w:t>Harga Saham</w:t>
            </w:r>
          </w:p>
        </w:tc>
        <w:tc>
          <w:tcPr>
            <w:tcW w:w="1023" w:type="dxa"/>
            <w:tcBorders>
              <w:top w:val="single" w:sz="8" w:space="0" w:color="ADADAD"/>
              <w:left w:val="nil"/>
              <w:bottom w:val="single" w:sz="8" w:space="0" w:color="ADADAD"/>
              <w:right w:val="single" w:sz="8" w:space="0" w:color="DFDFDF"/>
            </w:tcBorders>
          </w:tcPr>
          <w:p>
            <w:pPr>
              <w:pStyle w:val="TableParagraph"/>
              <w:spacing w:line="192" w:lineRule="exact" w:before="104"/>
              <w:ind w:right="55"/>
              <w:rPr>
                <w:rFonts w:ascii="Arial"/>
                <w:sz w:val="18"/>
              </w:rPr>
            </w:pPr>
            <w:r>
              <w:rPr>
                <w:rFonts w:ascii="Arial"/>
                <w:color w:val="000104"/>
                <w:sz w:val="18"/>
              </w:rPr>
              <w:t>35</w:t>
            </w:r>
          </w:p>
        </w:tc>
        <w:tc>
          <w:tcPr>
            <w:tcW w:w="1070"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54"/>
              <w:rPr>
                <w:rFonts w:ascii="Arial"/>
                <w:sz w:val="18"/>
              </w:rPr>
            </w:pPr>
            <w:r>
              <w:rPr>
                <w:rFonts w:ascii="Arial"/>
                <w:color w:val="000104"/>
                <w:sz w:val="18"/>
              </w:rPr>
              <w:t>256.00</w:t>
            </w:r>
          </w:p>
        </w:tc>
        <w:tc>
          <w:tcPr>
            <w:tcW w:w="1104"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53"/>
              <w:rPr>
                <w:rFonts w:ascii="Arial"/>
                <w:sz w:val="18"/>
              </w:rPr>
            </w:pPr>
            <w:r>
              <w:rPr>
                <w:rFonts w:ascii="Arial"/>
                <w:color w:val="000104"/>
                <w:sz w:val="18"/>
              </w:rPr>
              <w:t>25000.00</w:t>
            </w:r>
          </w:p>
        </w:tc>
        <w:tc>
          <w:tcPr>
            <w:tcW w:w="1190"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48"/>
              <w:rPr>
                <w:rFonts w:ascii="Arial"/>
                <w:sz w:val="18"/>
              </w:rPr>
            </w:pPr>
            <w:r>
              <w:rPr>
                <w:rFonts w:ascii="Arial"/>
                <w:color w:val="000104"/>
                <w:sz w:val="18"/>
              </w:rPr>
              <w:t>7439.5429</w:t>
            </w:r>
          </w:p>
        </w:tc>
        <w:tc>
          <w:tcPr>
            <w:tcW w:w="1440" w:type="dxa"/>
            <w:tcBorders>
              <w:top w:val="single" w:sz="8" w:space="0" w:color="ADADAD"/>
              <w:left w:val="single" w:sz="8" w:space="0" w:color="DFDFDF"/>
              <w:bottom w:val="single" w:sz="8" w:space="0" w:color="ADADAD"/>
              <w:right w:val="nil"/>
            </w:tcBorders>
          </w:tcPr>
          <w:p>
            <w:pPr>
              <w:pStyle w:val="TableParagraph"/>
              <w:spacing w:line="192" w:lineRule="exact" w:before="104"/>
              <w:ind w:right="47"/>
              <w:rPr>
                <w:rFonts w:ascii="Arial"/>
                <w:sz w:val="18"/>
              </w:rPr>
            </w:pPr>
            <w:r>
              <w:rPr>
                <w:rFonts w:ascii="Arial"/>
                <w:color w:val="000104"/>
                <w:sz w:val="18"/>
              </w:rPr>
              <w:t>8342.82869</w:t>
            </w:r>
          </w:p>
        </w:tc>
      </w:tr>
      <w:tr>
        <w:trPr>
          <w:trHeight w:val="321" w:hRule="atLeast"/>
        </w:trPr>
        <w:tc>
          <w:tcPr>
            <w:tcW w:w="1700" w:type="dxa"/>
            <w:tcBorders>
              <w:top w:val="single" w:sz="8" w:space="0" w:color="ADADAD"/>
              <w:left w:val="nil"/>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Valid N (listwise)</w:t>
            </w:r>
          </w:p>
        </w:tc>
        <w:tc>
          <w:tcPr>
            <w:tcW w:w="1023" w:type="dxa"/>
            <w:tcBorders>
              <w:top w:val="single" w:sz="8" w:space="0" w:color="ADADAD"/>
              <w:left w:val="nil"/>
              <w:right w:val="single" w:sz="8" w:space="0" w:color="DFDFDF"/>
            </w:tcBorders>
          </w:tcPr>
          <w:p>
            <w:pPr>
              <w:pStyle w:val="TableParagraph"/>
              <w:spacing w:line="192" w:lineRule="exact" w:before="109"/>
              <w:ind w:right="55"/>
              <w:rPr>
                <w:rFonts w:ascii="Arial"/>
                <w:sz w:val="18"/>
              </w:rPr>
            </w:pPr>
            <w:r>
              <w:rPr>
                <w:rFonts w:ascii="Arial"/>
                <w:color w:val="000104"/>
                <w:sz w:val="18"/>
              </w:rPr>
              <w:t>35</w:t>
            </w:r>
          </w:p>
        </w:tc>
        <w:tc>
          <w:tcPr>
            <w:tcW w:w="1070" w:type="dxa"/>
            <w:tcBorders>
              <w:top w:val="single" w:sz="8" w:space="0" w:color="ADADAD"/>
              <w:left w:val="single" w:sz="8" w:space="0" w:color="DFDFDF"/>
              <w:right w:val="single" w:sz="8" w:space="0" w:color="DFDFDF"/>
            </w:tcBorders>
          </w:tcPr>
          <w:p>
            <w:pPr>
              <w:pStyle w:val="TableParagraph"/>
              <w:spacing w:line="240" w:lineRule="auto"/>
              <w:jc w:val="left"/>
              <w:rPr>
                <w:sz w:val="18"/>
              </w:rPr>
            </w:pPr>
          </w:p>
        </w:tc>
        <w:tc>
          <w:tcPr>
            <w:tcW w:w="1104" w:type="dxa"/>
            <w:tcBorders>
              <w:top w:val="single" w:sz="8" w:space="0" w:color="ADADAD"/>
              <w:left w:val="single" w:sz="8" w:space="0" w:color="DFDFDF"/>
              <w:right w:val="single" w:sz="8" w:space="0" w:color="DFDFDF"/>
            </w:tcBorders>
          </w:tcPr>
          <w:p>
            <w:pPr>
              <w:pStyle w:val="TableParagraph"/>
              <w:spacing w:line="240" w:lineRule="auto"/>
              <w:jc w:val="left"/>
              <w:rPr>
                <w:sz w:val="18"/>
              </w:rPr>
            </w:pPr>
          </w:p>
        </w:tc>
        <w:tc>
          <w:tcPr>
            <w:tcW w:w="1190" w:type="dxa"/>
            <w:tcBorders>
              <w:top w:val="single" w:sz="8" w:space="0" w:color="ADADAD"/>
              <w:left w:val="single" w:sz="8" w:space="0" w:color="DFDFDF"/>
              <w:right w:val="single" w:sz="8" w:space="0" w:color="DFDFDF"/>
            </w:tcBorders>
          </w:tcPr>
          <w:p>
            <w:pPr>
              <w:pStyle w:val="TableParagraph"/>
              <w:spacing w:line="240" w:lineRule="auto"/>
              <w:jc w:val="left"/>
              <w:rPr>
                <w:sz w:val="18"/>
              </w:rPr>
            </w:pPr>
          </w:p>
        </w:tc>
        <w:tc>
          <w:tcPr>
            <w:tcW w:w="1440" w:type="dxa"/>
            <w:tcBorders>
              <w:top w:val="single" w:sz="8" w:space="0" w:color="ADADAD"/>
              <w:left w:val="single" w:sz="8" w:space="0" w:color="DFDFDF"/>
              <w:right w:val="nil"/>
            </w:tcBorders>
          </w:tcPr>
          <w:p>
            <w:pPr>
              <w:pStyle w:val="TableParagraph"/>
              <w:spacing w:line="240" w:lineRule="auto"/>
              <w:jc w:val="left"/>
              <w:rPr>
                <w:sz w:val="18"/>
              </w:rPr>
            </w:pPr>
          </w:p>
        </w:tc>
      </w:tr>
    </w:tbl>
    <w:p>
      <w:pPr>
        <w:pStyle w:val="BodyText"/>
        <w:rPr>
          <w:rFonts w:ascii="Arial"/>
          <w:b/>
          <w:sz w:val="20"/>
        </w:rPr>
      </w:pPr>
    </w:p>
    <w:p>
      <w:pPr>
        <w:spacing w:before="179"/>
        <w:ind w:left="119" w:right="0" w:firstLine="0"/>
        <w:jc w:val="left"/>
        <w:rPr>
          <w:rFonts w:ascii="Calibri"/>
          <w:sz w:val="22"/>
        </w:rPr>
      </w:pPr>
      <w:r>
        <w:rPr>
          <w:rFonts w:ascii="Calibri"/>
          <w:sz w:val="22"/>
        </w:rPr>
        <w:t>Uji Normalitas</w:t>
      </w:r>
    </w:p>
    <w:p>
      <w:pPr>
        <w:pStyle w:val="BodyText"/>
        <w:rPr>
          <w:rFonts w:ascii="Calibri"/>
          <w:sz w:val="20"/>
        </w:rPr>
      </w:pPr>
    </w:p>
    <w:p>
      <w:pPr>
        <w:pStyle w:val="BodyText"/>
        <w:rPr>
          <w:rFonts w:ascii="Calibri"/>
          <w:sz w:val="22"/>
        </w:rPr>
      </w:pPr>
    </w:p>
    <w:p>
      <w:pPr>
        <w:spacing w:before="1" w:after="6"/>
        <w:ind w:left="2189" w:right="2513" w:firstLine="0"/>
        <w:jc w:val="center"/>
        <w:rPr>
          <w:rFonts w:ascii="Arial"/>
          <w:b/>
          <w:sz w:val="22"/>
        </w:rPr>
      </w:pPr>
      <w:r>
        <w:rPr>
          <w:rFonts w:ascii="Arial"/>
          <w:b/>
          <w:color w:val="000104"/>
          <w:sz w:val="22"/>
        </w:rPr>
        <w:t>One-Sample Kolmogorov-Smirnov Test</w:t>
      </w:r>
    </w:p>
    <w:tbl>
      <w:tblPr>
        <w:tblW w:w="0" w:type="auto"/>
        <w:jc w:val="left"/>
        <w:tblInd w:w="12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2435"/>
        <w:gridCol w:w="1441"/>
        <w:gridCol w:w="1465"/>
        <w:gridCol w:w="1469"/>
        <w:gridCol w:w="1469"/>
      </w:tblGrid>
      <w:tr>
        <w:trPr>
          <w:trHeight w:val="637" w:hRule="atLeast"/>
        </w:trPr>
        <w:tc>
          <w:tcPr>
            <w:tcW w:w="5341" w:type="dxa"/>
            <w:gridSpan w:val="3"/>
            <w:tcBorders>
              <w:top w:val="nil"/>
              <w:left w:val="nil"/>
              <w:right w:val="single" w:sz="8" w:space="0" w:color="DFDFDF"/>
            </w:tcBorders>
          </w:tcPr>
          <w:p>
            <w:pPr>
              <w:pStyle w:val="TableParagraph"/>
              <w:spacing w:line="240" w:lineRule="auto"/>
              <w:jc w:val="left"/>
              <w:rPr>
                <w:rFonts w:ascii="Arial"/>
                <w:b/>
                <w:sz w:val="20"/>
              </w:rPr>
            </w:pPr>
          </w:p>
          <w:p>
            <w:pPr>
              <w:pStyle w:val="TableParagraph"/>
              <w:spacing w:line="240" w:lineRule="auto"/>
              <w:jc w:val="left"/>
              <w:rPr>
                <w:rFonts w:ascii="Arial"/>
                <w:b/>
                <w:sz w:val="17"/>
              </w:rPr>
            </w:pPr>
          </w:p>
          <w:p>
            <w:pPr>
              <w:pStyle w:val="TableParagraph"/>
              <w:spacing w:line="192" w:lineRule="exact" w:before="1"/>
              <w:ind w:right="59"/>
              <w:rPr>
                <w:rFonts w:ascii="Arial"/>
                <w:sz w:val="18"/>
              </w:rPr>
            </w:pPr>
            <w:r>
              <w:rPr>
                <w:rFonts w:ascii="Arial"/>
                <w:color w:val="25495F"/>
                <w:sz w:val="18"/>
              </w:rPr>
              <w:t>Return On Asset</w:t>
            </w:r>
          </w:p>
        </w:tc>
        <w:tc>
          <w:tcPr>
            <w:tcW w:w="1469" w:type="dxa"/>
            <w:tcBorders>
              <w:top w:val="nil"/>
              <w:left w:val="single" w:sz="8" w:space="0" w:color="DFDFDF"/>
              <w:right w:val="single" w:sz="8" w:space="0" w:color="DFDFDF"/>
            </w:tcBorders>
          </w:tcPr>
          <w:p>
            <w:pPr>
              <w:pStyle w:val="TableParagraph"/>
              <w:spacing w:line="322" w:lineRule="exact" w:before="16"/>
              <w:ind w:left="478" w:right="288" w:hanging="168"/>
              <w:jc w:val="left"/>
              <w:rPr>
                <w:rFonts w:ascii="Arial"/>
                <w:sz w:val="18"/>
              </w:rPr>
            </w:pPr>
            <w:r>
              <w:rPr>
                <w:rFonts w:ascii="Arial"/>
                <w:color w:val="25495F"/>
                <w:sz w:val="18"/>
              </w:rPr>
              <w:t>Return On Equity</w:t>
            </w:r>
          </w:p>
        </w:tc>
        <w:tc>
          <w:tcPr>
            <w:tcW w:w="1469" w:type="dxa"/>
            <w:tcBorders>
              <w:top w:val="nil"/>
              <w:left w:val="single" w:sz="8" w:space="0" w:color="DFDFDF"/>
              <w:right w:val="nil"/>
            </w:tcBorders>
          </w:tcPr>
          <w:p>
            <w:pPr>
              <w:pStyle w:val="TableParagraph"/>
              <w:spacing w:line="240" w:lineRule="auto"/>
              <w:jc w:val="left"/>
              <w:rPr>
                <w:rFonts w:ascii="Arial"/>
                <w:b/>
                <w:sz w:val="20"/>
              </w:rPr>
            </w:pPr>
          </w:p>
          <w:p>
            <w:pPr>
              <w:pStyle w:val="TableParagraph"/>
              <w:spacing w:line="240" w:lineRule="auto"/>
              <w:jc w:val="left"/>
              <w:rPr>
                <w:rFonts w:ascii="Arial"/>
                <w:b/>
                <w:sz w:val="17"/>
              </w:rPr>
            </w:pPr>
          </w:p>
          <w:p>
            <w:pPr>
              <w:pStyle w:val="TableParagraph"/>
              <w:spacing w:line="192" w:lineRule="exact" w:before="1"/>
              <w:ind w:left="176"/>
              <w:jc w:val="left"/>
              <w:rPr>
                <w:rFonts w:ascii="Arial"/>
                <w:sz w:val="18"/>
              </w:rPr>
            </w:pPr>
            <w:r>
              <w:rPr>
                <w:rFonts w:ascii="Arial"/>
                <w:color w:val="25495F"/>
                <w:sz w:val="18"/>
              </w:rPr>
              <w:t>Harga Saham</w:t>
            </w:r>
          </w:p>
        </w:tc>
      </w:tr>
      <w:tr>
        <w:trPr>
          <w:trHeight w:val="298" w:hRule="atLeast"/>
        </w:trPr>
        <w:tc>
          <w:tcPr>
            <w:tcW w:w="3876" w:type="dxa"/>
            <w:gridSpan w:val="2"/>
            <w:tcBorders>
              <w:left w:val="nil"/>
              <w:bottom w:val="single" w:sz="8" w:space="0" w:color="ADADAD"/>
              <w:right w:val="nil"/>
            </w:tcBorders>
            <w:shd w:val="clear" w:color="auto" w:fill="DFDFDF"/>
          </w:tcPr>
          <w:p>
            <w:pPr>
              <w:pStyle w:val="TableParagraph"/>
              <w:spacing w:line="192" w:lineRule="exact" w:before="87"/>
              <w:ind w:left="62"/>
              <w:jc w:val="left"/>
              <w:rPr>
                <w:rFonts w:ascii="Arial"/>
                <w:sz w:val="18"/>
              </w:rPr>
            </w:pPr>
            <w:r>
              <w:rPr>
                <w:rFonts w:ascii="Arial"/>
                <w:color w:val="25495F"/>
                <w:w w:val="101"/>
                <w:sz w:val="18"/>
              </w:rPr>
              <w:t>N</w:t>
            </w:r>
          </w:p>
        </w:tc>
        <w:tc>
          <w:tcPr>
            <w:tcW w:w="1465" w:type="dxa"/>
            <w:tcBorders>
              <w:left w:val="nil"/>
              <w:bottom w:val="single" w:sz="8" w:space="0" w:color="ADADAD"/>
              <w:right w:val="single" w:sz="8" w:space="0" w:color="DFDFDF"/>
            </w:tcBorders>
          </w:tcPr>
          <w:p>
            <w:pPr>
              <w:pStyle w:val="TableParagraph"/>
              <w:spacing w:line="192" w:lineRule="exact" w:before="87"/>
              <w:ind w:right="56"/>
              <w:rPr>
                <w:rFonts w:ascii="Arial"/>
                <w:sz w:val="18"/>
              </w:rPr>
            </w:pPr>
            <w:r>
              <w:rPr>
                <w:rFonts w:ascii="Arial"/>
                <w:color w:val="000104"/>
                <w:sz w:val="18"/>
              </w:rPr>
              <w:t>35</w:t>
            </w:r>
          </w:p>
        </w:tc>
        <w:tc>
          <w:tcPr>
            <w:tcW w:w="1469" w:type="dxa"/>
            <w:tcBorders>
              <w:left w:val="single" w:sz="8" w:space="0" w:color="DFDFDF"/>
              <w:bottom w:val="single" w:sz="8" w:space="0" w:color="ADADAD"/>
              <w:right w:val="single" w:sz="8" w:space="0" w:color="DFDFDF"/>
            </w:tcBorders>
          </w:tcPr>
          <w:p>
            <w:pPr>
              <w:pStyle w:val="TableParagraph"/>
              <w:spacing w:line="192" w:lineRule="exact" w:before="87"/>
              <w:ind w:right="55"/>
              <w:rPr>
                <w:rFonts w:ascii="Arial"/>
                <w:sz w:val="18"/>
              </w:rPr>
            </w:pPr>
            <w:r>
              <w:rPr>
                <w:rFonts w:ascii="Arial"/>
                <w:color w:val="000104"/>
                <w:sz w:val="18"/>
              </w:rPr>
              <w:t>35</w:t>
            </w:r>
          </w:p>
        </w:tc>
        <w:tc>
          <w:tcPr>
            <w:tcW w:w="1469" w:type="dxa"/>
            <w:tcBorders>
              <w:left w:val="single" w:sz="8" w:space="0" w:color="DFDFDF"/>
              <w:bottom w:val="single" w:sz="8" w:space="0" w:color="ADADAD"/>
              <w:right w:val="nil"/>
            </w:tcBorders>
          </w:tcPr>
          <w:p>
            <w:pPr>
              <w:pStyle w:val="TableParagraph"/>
              <w:spacing w:line="192" w:lineRule="exact" w:before="87"/>
              <w:ind w:right="56"/>
              <w:rPr>
                <w:rFonts w:ascii="Arial"/>
                <w:sz w:val="18"/>
              </w:rPr>
            </w:pPr>
            <w:r>
              <w:rPr>
                <w:rFonts w:ascii="Arial"/>
                <w:color w:val="000104"/>
                <w:sz w:val="18"/>
              </w:rPr>
              <w:t>35</w:t>
            </w:r>
          </w:p>
        </w:tc>
      </w:tr>
      <w:tr>
        <w:trPr>
          <w:trHeight w:val="320" w:hRule="atLeast"/>
        </w:trPr>
        <w:tc>
          <w:tcPr>
            <w:tcW w:w="2435"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09"/>
              <w:ind w:left="62"/>
              <w:jc w:val="left"/>
              <w:rPr>
                <w:rFonts w:ascii="Arial"/>
                <w:sz w:val="18"/>
              </w:rPr>
            </w:pPr>
            <w:r>
              <w:rPr>
                <w:rFonts w:ascii="Arial"/>
                <w:color w:val="25495F"/>
                <w:sz w:val="18"/>
              </w:rPr>
              <w:t>Normal Parameters</w:t>
            </w:r>
            <w:r>
              <w:rPr>
                <w:rFonts w:ascii="Arial"/>
                <w:color w:val="25495F"/>
                <w:sz w:val="18"/>
                <w:vertAlign w:val="superscript"/>
              </w:rPr>
              <w:t>a,b</w:t>
            </w:r>
          </w:p>
        </w:tc>
        <w:tc>
          <w:tcPr>
            <w:tcW w:w="1441"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1"/>
              <w:jc w:val="left"/>
              <w:rPr>
                <w:rFonts w:ascii="Arial"/>
                <w:sz w:val="18"/>
              </w:rPr>
            </w:pPr>
            <w:r>
              <w:rPr>
                <w:rFonts w:ascii="Arial"/>
                <w:color w:val="25495F"/>
                <w:sz w:val="18"/>
              </w:rPr>
              <w:t>Mean</w:t>
            </w:r>
          </w:p>
        </w:tc>
        <w:tc>
          <w:tcPr>
            <w:tcW w:w="1465" w:type="dxa"/>
            <w:tcBorders>
              <w:top w:val="single" w:sz="8" w:space="0" w:color="ADADAD"/>
              <w:left w:val="nil"/>
              <w:bottom w:val="single" w:sz="8" w:space="0" w:color="ADADAD"/>
              <w:right w:val="single" w:sz="8" w:space="0" w:color="DFDFDF"/>
            </w:tcBorders>
          </w:tcPr>
          <w:p>
            <w:pPr>
              <w:pStyle w:val="TableParagraph"/>
              <w:spacing w:line="192" w:lineRule="exact" w:before="109"/>
              <w:ind w:right="51"/>
              <w:rPr>
                <w:rFonts w:ascii="Arial"/>
                <w:sz w:val="18"/>
              </w:rPr>
            </w:pPr>
            <w:r>
              <w:rPr>
                <w:rFonts w:ascii="Arial"/>
                <w:color w:val="000104"/>
                <w:sz w:val="18"/>
              </w:rPr>
              <w:t>8.5180</w:t>
            </w:r>
          </w:p>
        </w:tc>
        <w:tc>
          <w:tcPr>
            <w:tcW w:w="1469"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2"/>
              <w:rPr>
                <w:rFonts w:ascii="Arial"/>
                <w:sz w:val="18"/>
              </w:rPr>
            </w:pPr>
            <w:r>
              <w:rPr>
                <w:rFonts w:ascii="Arial"/>
                <w:color w:val="000104"/>
                <w:sz w:val="18"/>
              </w:rPr>
              <w:t>11.8386</w:t>
            </w:r>
          </w:p>
        </w:tc>
        <w:tc>
          <w:tcPr>
            <w:tcW w:w="1469" w:type="dxa"/>
            <w:tcBorders>
              <w:top w:val="single" w:sz="8" w:space="0" w:color="ADADAD"/>
              <w:left w:val="single" w:sz="8" w:space="0" w:color="DFDFDF"/>
              <w:bottom w:val="single" w:sz="8" w:space="0" w:color="ADADAD"/>
              <w:right w:val="nil"/>
            </w:tcBorders>
          </w:tcPr>
          <w:p>
            <w:pPr>
              <w:pStyle w:val="TableParagraph"/>
              <w:spacing w:line="192" w:lineRule="exact" w:before="109"/>
              <w:ind w:right="50"/>
              <w:rPr>
                <w:rFonts w:ascii="Arial"/>
                <w:sz w:val="18"/>
              </w:rPr>
            </w:pPr>
            <w:r>
              <w:rPr>
                <w:rFonts w:ascii="Arial"/>
                <w:color w:val="000104"/>
                <w:sz w:val="18"/>
              </w:rPr>
              <w:t>7439.5429</w:t>
            </w:r>
          </w:p>
        </w:tc>
      </w:tr>
      <w:tr>
        <w:trPr>
          <w:trHeight w:val="316" w:hRule="atLeast"/>
        </w:trPr>
        <w:tc>
          <w:tcPr>
            <w:tcW w:w="2435" w:type="dxa"/>
            <w:vMerge/>
            <w:tcBorders>
              <w:top w:val="nil"/>
              <w:left w:val="nil"/>
              <w:bottom w:val="single" w:sz="8" w:space="0" w:color="ADADAD"/>
              <w:right w:val="nil"/>
            </w:tcBorders>
            <w:shd w:val="clear" w:color="auto" w:fill="DFDFDF"/>
          </w:tcPr>
          <w:p>
            <w:pPr>
              <w:rPr>
                <w:sz w:val="2"/>
                <w:szCs w:val="2"/>
              </w:rPr>
            </w:pPr>
          </w:p>
        </w:tc>
        <w:tc>
          <w:tcPr>
            <w:tcW w:w="1441" w:type="dxa"/>
            <w:tcBorders>
              <w:top w:val="single" w:sz="8" w:space="0" w:color="ADADAD"/>
              <w:left w:val="nil"/>
              <w:bottom w:val="single" w:sz="8" w:space="0" w:color="ADADAD"/>
              <w:right w:val="nil"/>
            </w:tcBorders>
            <w:shd w:val="clear" w:color="auto" w:fill="DFDFDF"/>
          </w:tcPr>
          <w:p>
            <w:pPr>
              <w:pStyle w:val="TableParagraph"/>
              <w:spacing w:line="192" w:lineRule="exact" w:before="104"/>
              <w:ind w:left="61"/>
              <w:jc w:val="left"/>
              <w:rPr>
                <w:rFonts w:ascii="Arial"/>
                <w:sz w:val="18"/>
              </w:rPr>
            </w:pPr>
            <w:r>
              <w:rPr>
                <w:rFonts w:ascii="Arial"/>
                <w:color w:val="25495F"/>
                <w:sz w:val="18"/>
              </w:rPr>
              <w:t>Std. Deviation</w:t>
            </w:r>
          </w:p>
        </w:tc>
        <w:tc>
          <w:tcPr>
            <w:tcW w:w="1465" w:type="dxa"/>
            <w:tcBorders>
              <w:top w:val="single" w:sz="8" w:space="0" w:color="ADADAD"/>
              <w:left w:val="nil"/>
              <w:bottom w:val="single" w:sz="8" w:space="0" w:color="ADADAD"/>
              <w:right w:val="single" w:sz="8" w:space="0" w:color="DFDFDF"/>
            </w:tcBorders>
          </w:tcPr>
          <w:p>
            <w:pPr>
              <w:pStyle w:val="TableParagraph"/>
              <w:spacing w:line="192" w:lineRule="exact" w:before="104"/>
              <w:ind w:right="51"/>
              <w:rPr>
                <w:rFonts w:ascii="Arial"/>
                <w:sz w:val="18"/>
              </w:rPr>
            </w:pPr>
            <w:r>
              <w:rPr>
                <w:rFonts w:ascii="Arial"/>
                <w:color w:val="000104"/>
                <w:sz w:val="18"/>
              </w:rPr>
              <w:t>7.12182</w:t>
            </w:r>
          </w:p>
        </w:tc>
        <w:tc>
          <w:tcPr>
            <w:tcW w:w="1469"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4"/>
              <w:ind w:right="52"/>
              <w:rPr>
                <w:rFonts w:ascii="Arial"/>
                <w:sz w:val="18"/>
              </w:rPr>
            </w:pPr>
            <w:r>
              <w:rPr>
                <w:rFonts w:ascii="Arial"/>
                <w:color w:val="000104"/>
                <w:sz w:val="18"/>
              </w:rPr>
              <w:t>9.58866</w:t>
            </w:r>
          </w:p>
        </w:tc>
        <w:tc>
          <w:tcPr>
            <w:tcW w:w="1469" w:type="dxa"/>
            <w:tcBorders>
              <w:top w:val="single" w:sz="8" w:space="0" w:color="ADADAD"/>
              <w:left w:val="single" w:sz="8" w:space="0" w:color="DFDFDF"/>
              <w:bottom w:val="single" w:sz="8" w:space="0" w:color="ADADAD"/>
              <w:right w:val="nil"/>
            </w:tcBorders>
          </w:tcPr>
          <w:p>
            <w:pPr>
              <w:pStyle w:val="TableParagraph"/>
              <w:spacing w:line="192" w:lineRule="exact" w:before="104"/>
              <w:ind w:right="50"/>
              <w:rPr>
                <w:rFonts w:ascii="Arial"/>
                <w:sz w:val="18"/>
              </w:rPr>
            </w:pPr>
            <w:r>
              <w:rPr>
                <w:rFonts w:ascii="Arial"/>
                <w:color w:val="000104"/>
                <w:sz w:val="18"/>
              </w:rPr>
              <w:t>8342.82869</w:t>
            </w:r>
          </w:p>
        </w:tc>
      </w:tr>
      <w:tr>
        <w:trPr>
          <w:trHeight w:val="320" w:hRule="atLeast"/>
        </w:trPr>
        <w:tc>
          <w:tcPr>
            <w:tcW w:w="2435"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09"/>
              <w:ind w:left="62"/>
              <w:jc w:val="left"/>
              <w:rPr>
                <w:rFonts w:ascii="Arial"/>
                <w:sz w:val="18"/>
              </w:rPr>
            </w:pPr>
            <w:r>
              <w:rPr>
                <w:rFonts w:ascii="Arial"/>
                <w:color w:val="25495F"/>
                <w:sz w:val="18"/>
              </w:rPr>
              <w:t>Most Extreme Differences</w:t>
            </w:r>
          </w:p>
        </w:tc>
        <w:tc>
          <w:tcPr>
            <w:tcW w:w="1441"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1"/>
              <w:jc w:val="left"/>
              <w:rPr>
                <w:rFonts w:ascii="Arial"/>
                <w:sz w:val="18"/>
              </w:rPr>
            </w:pPr>
            <w:r>
              <w:rPr>
                <w:rFonts w:ascii="Arial"/>
                <w:color w:val="25495F"/>
                <w:sz w:val="18"/>
              </w:rPr>
              <w:t>Absolute</w:t>
            </w:r>
          </w:p>
        </w:tc>
        <w:tc>
          <w:tcPr>
            <w:tcW w:w="1465" w:type="dxa"/>
            <w:tcBorders>
              <w:top w:val="single" w:sz="8" w:space="0" w:color="ADADAD"/>
              <w:left w:val="nil"/>
              <w:bottom w:val="single" w:sz="8" w:space="0" w:color="ADADAD"/>
              <w:right w:val="single" w:sz="8" w:space="0" w:color="DFDFDF"/>
            </w:tcBorders>
          </w:tcPr>
          <w:p>
            <w:pPr>
              <w:pStyle w:val="TableParagraph"/>
              <w:spacing w:line="192" w:lineRule="exact" w:before="109"/>
              <w:ind w:right="51"/>
              <w:rPr>
                <w:rFonts w:ascii="Arial"/>
                <w:sz w:val="18"/>
              </w:rPr>
            </w:pPr>
            <w:r>
              <w:rPr>
                <w:rFonts w:ascii="Arial"/>
                <w:color w:val="000104"/>
                <w:sz w:val="18"/>
              </w:rPr>
              <w:t>.158</w:t>
            </w:r>
          </w:p>
        </w:tc>
        <w:tc>
          <w:tcPr>
            <w:tcW w:w="1469"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1"/>
              <w:rPr>
                <w:rFonts w:ascii="Arial"/>
                <w:sz w:val="18"/>
              </w:rPr>
            </w:pPr>
            <w:r>
              <w:rPr>
                <w:rFonts w:ascii="Arial"/>
                <w:color w:val="000104"/>
                <w:sz w:val="18"/>
              </w:rPr>
              <w:t>.100</w:t>
            </w:r>
          </w:p>
        </w:tc>
        <w:tc>
          <w:tcPr>
            <w:tcW w:w="1469" w:type="dxa"/>
            <w:tcBorders>
              <w:top w:val="single" w:sz="8" w:space="0" w:color="ADADAD"/>
              <w:left w:val="single" w:sz="8" w:space="0" w:color="DFDFDF"/>
              <w:bottom w:val="single" w:sz="8" w:space="0" w:color="ADADAD"/>
              <w:right w:val="nil"/>
            </w:tcBorders>
          </w:tcPr>
          <w:p>
            <w:pPr>
              <w:pStyle w:val="TableParagraph"/>
              <w:spacing w:line="192" w:lineRule="exact" w:before="109"/>
              <w:ind w:right="50"/>
              <w:rPr>
                <w:rFonts w:ascii="Arial"/>
                <w:sz w:val="18"/>
              </w:rPr>
            </w:pPr>
            <w:r>
              <w:rPr>
                <w:rFonts w:ascii="Arial"/>
                <w:color w:val="000104"/>
                <w:sz w:val="18"/>
              </w:rPr>
              <w:t>.278</w:t>
            </w:r>
          </w:p>
        </w:tc>
      </w:tr>
      <w:tr>
        <w:trPr>
          <w:trHeight w:val="320" w:hRule="atLeast"/>
        </w:trPr>
        <w:tc>
          <w:tcPr>
            <w:tcW w:w="2435" w:type="dxa"/>
            <w:vMerge/>
            <w:tcBorders>
              <w:top w:val="nil"/>
              <w:left w:val="nil"/>
              <w:bottom w:val="single" w:sz="8" w:space="0" w:color="ADADAD"/>
              <w:right w:val="nil"/>
            </w:tcBorders>
            <w:shd w:val="clear" w:color="auto" w:fill="DFDFDF"/>
          </w:tcPr>
          <w:p>
            <w:pPr>
              <w:rPr>
                <w:sz w:val="2"/>
                <w:szCs w:val="2"/>
              </w:rPr>
            </w:pPr>
          </w:p>
        </w:tc>
        <w:tc>
          <w:tcPr>
            <w:tcW w:w="1441"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1"/>
              <w:jc w:val="left"/>
              <w:rPr>
                <w:rFonts w:ascii="Arial"/>
                <w:sz w:val="18"/>
              </w:rPr>
            </w:pPr>
            <w:r>
              <w:rPr>
                <w:rFonts w:ascii="Arial"/>
                <w:color w:val="25495F"/>
                <w:sz w:val="18"/>
              </w:rPr>
              <w:t>Positive</w:t>
            </w:r>
          </w:p>
        </w:tc>
        <w:tc>
          <w:tcPr>
            <w:tcW w:w="1465" w:type="dxa"/>
            <w:tcBorders>
              <w:top w:val="single" w:sz="8" w:space="0" w:color="ADADAD"/>
              <w:left w:val="nil"/>
              <w:bottom w:val="single" w:sz="8" w:space="0" w:color="ADADAD"/>
              <w:right w:val="single" w:sz="8" w:space="0" w:color="DFDFDF"/>
            </w:tcBorders>
          </w:tcPr>
          <w:p>
            <w:pPr>
              <w:pStyle w:val="TableParagraph"/>
              <w:spacing w:line="192" w:lineRule="exact" w:before="109"/>
              <w:ind w:right="51"/>
              <w:rPr>
                <w:rFonts w:ascii="Arial"/>
                <w:sz w:val="18"/>
              </w:rPr>
            </w:pPr>
            <w:r>
              <w:rPr>
                <w:rFonts w:ascii="Arial"/>
                <w:color w:val="000104"/>
                <w:sz w:val="18"/>
              </w:rPr>
              <w:t>.158</w:t>
            </w:r>
          </w:p>
        </w:tc>
        <w:tc>
          <w:tcPr>
            <w:tcW w:w="1469"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1"/>
              <w:rPr>
                <w:rFonts w:ascii="Arial"/>
                <w:sz w:val="18"/>
              </w:rPr>
            </w:pPr>
            <w:r>
              <w:rPr>
                <w:rFonts w:ascii="Arial"/>
                <w:color w:val="000104"/>
                <w:sz w:val="18"/>
              </w:rPr>
              <w:t>.085</w:t>
            </w:r>
          </w:p>
        </w:tc>
        <w:tc>
          <w:tcPr>
            <w:tcW w:w="1469" w:type="dxa"/>
            <w:tcBorders>
              <w:top w:val="single" w:sz="8" w:space="0" w:color="ADADAD"/>
              <w:left w:val="single" w:sz="8" w:space="0" w:color="DFDFDF"/>
              <w:bottom w:val="single" w:sz="8" w:space="0" w:color="ADADAD"/>
              <w:right w:val="nil"/>
            </w:tcBorders>
          </w:tcPr>
          <w:p>
            <w:pPr>
              <w:pStyle w:val="TableParagraph"/>
              <w:spacing w:line="192" w:lineRule="exact" w:before="109"/>
              <w:ind w:right="50"/>
              <w:rPr>
                <w:rFonts w:ascii="Arial"/>
                <w:sz w:val="18"/>
              </w:rPr>
            </w:pPr>
            <w:r>
              <w:rPr>
                <w:rFonts w:ascii="Arial"/>
                <w:color w:val="000104"/>
                <w:sz w:val="18"/>
              </w:rPr>
              <w:t>.278</w:t>
            </w:r>
          </w:p>
        </w:tc>
      </w:tr>
      <w:tr>
        <w:trPr>
          <w:trHeight w:val="320" w:hRule="atLeast"/>
        </w:trPr>
        <w:tc>
          <w:tcPr>
            <w:tcW w:w="2435" w:type="dxa"/>
            <w:vMerge/>
            <w:tcBorders>
              <w:top w:val="nil"/>
              <w:left w:val="nil"/>
              <w:bottom w:val="single" w:sz="8" w:space="0" w:color="ADADAD"/>
              <w:right w:val="nil"/>
            </w:tcBorders>
            <w:shd w:val="clear" w:color="auto" w:fill="DFDFDF"/>
          </w:tcPr>
          <w:p>
            <w:pPr>
              <w:rPr>
                <w:sz w:val="2"/>
                <w:szCs w:val="2"/>
              </w:rPr>
            </w:pPr>
          </w:p>
        </w:tc>
        <w:tc>
          <w:tcPr>
            <w:tcW w:w="1441"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1"/>
              <w:jc w:val="left"/>
              <w:rPr>
                <w:rFonts w:ascii="Arial"/>
                <w:sz w:val="18"/>
              </w:rPr>
            </w:pPr>
            <w:r>
              <w:rPr>
                <w:rFonts w:ascii="Arial"/>
                <w:color w:val="25495F"/>
                <w:sz w:val="18"/>
              </w:rPr>
              <w:t>Negative</w:t>
            </w:r>
          </w:p>
        </w:tc>
        <w:tc>
          <w:tcPr>
            <w:tcW w:w="1465" w:type="dxa"/>
            <w:tcBorders>
              <w:top w:val="single" w:sz="8" w:space="0" w:color="ADADAD"/>
              <w:left w:val="nil"/>
              <w:bottom w:val="single" w:sz="8" w:space="0" w:color="ADADAD"/>
              <w:right w:val="single" w:sz="8" w:space="0" w:color="DFDFDF"/>
            </w:tcBorders>
          </w:tcPr>
          <w:p>
            <w:pPr>
              <w:pStyle w:val="TableParagraph"/>
              <w:spacing w:line="192" w:lineRule="exact" w:before="109"/>
              <w:ind w:right="51"/>
              <w:rPr>
                <w:rFonts w:ascii="Arial"/>
                <w:sz w:val="18"/>
              </w:rPr>
            </w:pPr>
            <w:r>
              <w:rPr>
                <w:rFonts w:ascii="Arial"/>
                <w:color w:val="000104"/>
                <w:sz w:val="18"/>
              </w:rPr>
              <w:t>-.074</w:t>
            </w:r>
          </w:p>
        </w:tc>
        <w:tc>
          <w:tcPr>
            <w:tcW w:w="1469"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1"/>
              <w:rPr>
                <w:rFonts w:ascii="Arial"/>
                <w:sz w:val="18"/>
              </w:rPr>
            </w:pPr>
            <w:r>
              <w:rPr>
                <w:rFonts w:ascii="Arial"/>
                <w:color w:val="000104"/>
                <w:sz w:val="18"/>
              </w:rPr>
              <w:t>-.100</w:t>
            </w:r>
          </w:p>
        </w:tc>
        <w:tc>
          <w:tcPr>
            <w:tcW w:w="1469" w:type="dxa"/>
            <w:tcBorders>
              <w:top w:val="single" w:sz="8" w:space="0" w:color="ADADAD"/>
              <w:left w:val="single" w:sz="8" w:space="0" w:color="DFDFDF"/>
              <w:bottom w:val="single" w:sz="8" w:space="0" w:color="ADADAD"/>
              <w:right w:val="nil"/>
            </w:tcBorders>
          </w:tcPr>
          <w:p>
            <w:pPr>
              <w:pStyle w:val="TableParagraph"/>
              <w:spacing w:line="192" w:lineRule="exact" w:before="109"/>
              <w:ind w:right="50"/>
              <w:rPr>
                <w:rFonts w:ascii="Arial"/>
                <w:sz w:val="18"/>
              </w:rPr>
            </w:pPr>
            <w:r>
              <w:rPr>
                <w:rFonts w:ascii="Arial"/>
                <w:color w:val="000104"/>
                <w:sz w:val="18"/>
              </w:rPr>
              <w:t>-.195</w:t>
            </w:r>
          </w:p>
        </w:tc>
      </w:tr>
      <w:tr>
        <w:trPr>
          <w:trHeight w:val="320" w:hRule="atLeast"/>
        </w:trPr>
        <w:tc>
          <w:tcPr>
            <w:tcW w:w="3876" w:type="dxa"/>
            <w:gridSpan w:val="2"/>
            <w:tcBorders>
              <w:top w:val="single" w:sz="8" w:space="0" w:color="ADADAD"/>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Test Statistic</w:t>
            </w:r>
          </w:p>
        </w:tc>
        <w:tc>
          <w:tcPr>
            <w:tcW w:w="1465" w:type="dxa"/>
            <w:tcBorders>
              <w:top w:val="single" w:sz="8" w:space="0" w:color="ADADAD"/>
              <w:left w:val="nil"/>
              <w:bottom w:val="single" w:sz="8" w:space="0" w:color="ADADAD"/>
              <w:right w:val="single" w:sz="8" w:space="0" w:color="DFDFDF"/>
            </w:tcBorders>
          </w:tcPr>
          <w:p>
            <w:pPr>
              <w:pStyle w:val="TableParagraph"/>
              <w:spacing w:line="192" w:lineRule="exact" w:before="109"/>
              <w:ind w:right="51"/>
              <w:rPr>
                <w:rFonts w:ascii="Arial"/>
                <w:sz w:val="18"/>
              </w:rPr>
            </w:pPr>
            <w:r>
              <w:rPr>
                <w:rFonts w:ascii="Arial"/>
                <w:color w:val="000104"/>
                <w:sz w:val="18"/>
              </w:rPr>
              <w:t>.158</w:t>
            </w:r>
          </w:p>
        </w:tc>
        <w:tc>
          <w:tcPr>
            <w:tcW w:w="1469" w:type="dxa"/>
            <w:tcBorders>
              <w:top w:val="single" w:sz="8" w:space="0" w:color="ADADAD"/>
              <w:left w:val="single" w:sz="8" w:space="0" w:color="DFDFDF"/>
              <w:bottom w:val="single" w:sz="8" w:space="0" w:color="ADADAD"/>
              <w:right w:val="single" w:sz="8" w:space="0" w:color="DFDFDF"/>
            </w:tcBorders>
          </w:tcPr>
          <w:p>
            <w:pPr>
              <w:pStyle w:val="TableParagraph"/>
              <w:spacing w:line="192" w:lineRule="exact" w:before="109"/>
              <w:ind w:right="51"/>
              <w:rPr>
                <w:rFonts w:ascii="Arial"/>
                <w:sz w:val="18"/>
              </w:rPr>
            </w:pPr>
            <w:r>
              <w:rPr>
                <w:rFonts w:ascii="Arial"/>
                <w:color w:val="000104"/>
                <w:sz w:val="18"/>
              </w:rPr>
              <w:t>.100</w:t>
            </w:r>
          </w:p>
        </w:tc>
        <w:tc>
          <w:tcPr>
            <w:tcW w:w="1469" w:type="dxa"/>
            <w:tcBorders>
              <w:top w:val="single" w:sz="8" w:space="0" w:color="ADADAD"/>
              <w:left w:val="single" w:sz="8" w:space="0" w:color="DFDFDF"/>
              <w:bottom w:val="single" w:sz="8" w:space="0" w:color="ADADAD"/>
              <w:right w:val="nil"/>
            </w:tcBorders>
          </w:tcPr>
          <w:p>
            <w:pPr>
              <w:pStyle w:val="TableParagraph"/>
              <w:spacing w:line="192" w:lineRule="exact" w:before="109"/>
              <w:ind w:right="50"/>
              <w:rPr>
                <w:rFonts w:ascii="Arial"/>
                <w:sz w:val="18"/>
              </w:rPr>
            </w:pPr>
            <w:r>
              <w:rPr>
                <w:rFonts w:ascii="Arial"/>
                <w:color w:val="000104"/>
                <w:sz w:val="18"/>
              </w:rPr>
              <w:t>.278</w:t>
            </w:r>
          </w:p>
        </w:tc>
      </w:tr>
      <w:tr>
        <w:trPr>
          <w:trHeight w:val="321" w:hRule="atLeast"/>
        </w:trPr>
        <w:tc>
          <w:tcPr>
            <w:tcW w:w="3876" w:type="dxa"/>
            <w:gridSpan w:val="2"/>
            <w:tcBorders>
              <w:top w:val="single" w:sz="8" w:space="0" w:color="ADADAD"/>
              <w:left w:val="nil"/>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Asymp. Sig. (2-tailed)</w:t>
            </w:r>
          </w:p>
        </w:tc>
        <w:tc>
          <w:tcPr>
            <w:tcW w:w="1465" w:type="dxa"/>
            <w:tcBorders>
              <w:top w:val="single" w:sz="8" w:space="0" w:color="ADADAD"/>
              <w:left w:val="nil"/>
              <w:right w:val="single" w:sz="8" w:space="0" w:color="DFDFDF"/>
            </w:tcBorders>
          </w:tcPr>
          <w:p>
            <w:pPr>
              <w:pStyle w:val="TableParagraph"/>
              <w:spacing w:line="192" w:lineRule="exact" w:before="109"/>
              <w:ind w:right="53"/>
              <w:rPr>
                <w:rFonts w:ascii="Arial"/>
                <w:sz w:val="18"/>
              </w:rPr>
            </w:pPr>
            <w:r>
              <w:rPr>
                <w:rFonts w:ascii="Arial"/>
                <w:color w:val="000104"/>
                <w:sz w:val="18"/>
              </w:rPr>
              <w:t>.276</w:t>
            </w:r>
            <w:r>
              <w:rPr>
                <w:rFonts w:ascii="Arial"/>
                <w:color w:val="000104"/>
                <w:sz w:val="18"/>
                <w:vertAlign w:val="superscript"/>
              </w:rPr>
              <w:t>c</w:t>
            </w:r>
          </w:p>
        </w:tc>
        <w:tc>
          <w:tcPr>
            <w:tcW w:w="1469" w:type="dxa"/>
            <w:tcBorders>
              <w:top w:val="single" w:sz="8" w:space="0" w:color="ADADAD"/>
              <w:left w:val="single" w:sz="8" w:space="0" w:color="DFDFDF"/>
              <w:right w:val="single" w:sz="8" w:space="0" w:color="DFDFDF"/>
            </w:tcBorders>
          </w:tcPr>
          <w:p>
            <w:pPr>
              <w:pStyle w:val="TableParagraph"/>
              <w:spacing w:line="192" w:lineRule="exact" w:before="109"/>
              <w:ind w:right="51"/>
              <w:rPr>
                <w:rFonts w:ascii="Arial"/>
                <w:sz w:val="18"/>
              </w:rPr>
            </w:pPr>
            <w:r>
              <w:rPr>
                <w:rFonts w:ascii="Arial"/>
                <w:color w:val="000104"/>
                <w:sz w:val="18"/>
              </w:rPr>
              <w:t>.200</w:t>
            </w:r>
            <w:r>
              <w:rPr>
                <w:rFonts w:ascii="Arial"/>
                <w:color w:val="000104"/>
                <w:sz w:val="18"/>
                <w:vertAlign w:val="superscript"/>
              </w:rPr>
              <w:t>c,d</w:t>
            </w:r>
          </w:p>
        </w:tc>
        <w:tc>
          <w:tcPr>
            <w:tcW w:w="1469" w:type="dxa"/>
            <w:tcBorders>
              <w:top w:val="single" w:sz="8" w:space="0" w:color="ADADAD"/>
              <w:left w:val="single" w:sz="8" w:space="0" w:color="DFDFDF"/>
              <w:right w:val="nil"/>
            </w:tcBorders>
          </w:tcPr>
          <w:p>
            <w:pPr>
              <w:pStyle w:val="TableParagraph"/>
              <w:spacing w:line="192" w:lineRule="exact" w:before="109"/>
              <w:ind w:right="53"/>
              <w:rPr>
                <w:rFonts w:ascii="Arial"/>
                <w:sz w:val="18"/>
              </w:rPr>
            </w:pPr>
            <w:r>
              <w:rPr>
                <w:rFonts w:ascii="Arial"/>
                <w:color w:val="000104"/>
                <w:sz w:val="18"/>
              </w:rPr>
              <w:t>.127</w:t>
            </w:r>
            <w:r>
              <w:rPr>
                <w:rFonts w:ascii="Arial"/>
                <w:color w:val="000104"/>
                <w:sz w:val="18"/>
                <w:vertAlign w:val="superscript"/>
              </w:rPr>
              <w:t>c</w:t>
            </w:r>
          </w:p>
        </w:tc>
      </w:tr>
    </w:tbl>
    <w:p>
      <w:pPr>
        <w:pStyle w:val="ListParagraph"/>
        <w:numPr>
          <w:ilvl w:val="0"/>
          <w:numId w:val="30"/>
        </w:numPr>
        <w:tabs>
          <w:tab w:pos="388" w:val="left" w:leader="none"/>
        </w:tabs>
        <w:spacing w:line="240" w:lineRule="auto" w:before="104" w:after="0"/>
        <w:ind w:left="388" w:right="0" w:hanging="206"/>
        <w:jc w:val="left"/>
        <w:rPr>
          <w:rFonts w:ascii="Arial"/>
          <w:sz w:val="18"/>
        </w:rPr>
      </w:pPr>
      <w:r>
        <w:rPr>
          <w:rFonts w:ascii="Arial"/>
          <w:color w:val="000104"/>
          <w:sz w:val="18"/>
        </w:rPr>
        <w:t>Test distribution is</w:t>
      </w:r>
      <w:r>
        <w:rPr>
          <w:rFonts w:ascii="Arial"/>
          <w:color w:val="000104"/>
          <w:spacing w:val="-8"/>
          <w:sz w:val="18"/>
        </w:rPr>
        <w:t> </w:t>
      </w:r>
      <w:r>
        <w:rPr>
          <w:rFonts w:ascii="Arial"/>
          <w:color w:val="000104"/>
          <w:sz w:val="18"/>
        </w:rPr>
        <w:t>Normal.</w:t>
      </w:r>
    </w:p>
    <w:p>
      <w:pPr>
        <w:pStyle w:val="ListParagraph"/>
        <w:numPr>
          <w:ilvl w:val="0"/>
          <w:numId w:val="30"/>
        </w:numPr>
        <w:tabs>
          <w:tab w:pos="388" w:val="left" w:leader="none"/>
        </w:tabs>
        <w:spacing w:line="240" w:lineRule="auto" w:before="115" w:after="0"/>
        <w:ind w:left="388" w:right="0" w:hanging="206"/>
        <w:jc w:val="left"/>
        <w:rPr>
          <w:rFonts w:ascii="Arial"/>
          <w:sz w:val="18"/>
        </w:rPr>
      </w:pPr>
      <w:r>
        <w:rPr>
          <w:rFonts w:ascii="Arial"/>
          <w:color w:val="000104"/>
          <w:spacing w:val="-3"/>
          <w:sz w:val="18"/>
        </w:rPr>
        <w:t>Calculated </w:t>
      </w:r>
      <w:r>
        <w:rPr>
          <w:rFonts w:ascii="Arial"/>
          <w:color w:val="000104"/>
          <w:sz w:val="18"/>
        </w:rPr>
        <w:t>from</w:t>
      </w:r>
      <w:r>
        <w:rPr>
          <w:rFonts w:ascii="Arial"/>
          <w:color w:val="000104"/>
          <w:spacing w:val="11"/>
          <w:sz w:val="18"/>
        </w:rPr>
        <w:t> </w:t>
      </w:r>
      <w:r>
        <w:rPr>
          <w:rFonts w:ascii="Arial"/>
          <w:color w:val="000104"/>
          <w:spacing w:val="-3"/>
          <w:sz w:val="18"/>
        </w:rPr>
        <w:t>data.</w:t>
      </w:r>
    </w:p>
    <w:p>
      <w:pPr>
        <w:pStyle w:val="ListParagraph"/>
        <w:numPr>
          <w:ilvl w:val="0"/>
          <w:numId w:val="30"/>
        </w:numPr>
        <w:tabs>
          <w:tab w:pos="374" w:val="left" w:leader="none"/>
        </w:tabs>
        <w:spacing w:line="240" w:lineRule="auto" w:before="115" w:after="0"/>
        <w:ind w:left="373" w:right="0" w:hanging="192"/>
        <w:jc w:val="left"/>
        <w:rPr>
          <w:rFonts w:ascii="Arial"/>
          <w:sz w:val="18"/>
        </w:rPr>
      </w:pPr>
      <w:r>
        <w:rPr>
          <w:rFonts w:ascii="Arial"/>
          <w:color w:val="000104"/>
          <w:sz w:val="18"/>
        </w:rPr>
        <w:t>Lilliefors Significance</w:t>
      </w:r>
      <w:r>
        <w:rPr>
          <w:rFonts w:ascii="Arial"/>
          <w:color w:val="000104"/>
          <w:spacing w:val="-2"/>
          <w:sz w:val="18"/>
        </w:rPr>
        <w:t> </w:t>
      </w:r>
      <w:r>
        <w:rPr>
          <w:rFonts w:ascii="Arial"/>
          <w:color w:val="000104"/>
          <w:sz w:val="18"/>
        </w:rPr>
        <w:t>Correction.</w:t>
      </w:r>
    </w:p>
    <w:p>
      <w:pPr>
        <w:pStyle w:val="ListParagraph"/>
        <w:numPr>
          <w:ilvl w:val="0"/>
          <w:numId w:val="30"/>
        </w:numPr>
        <w:tabs>
          <w:tab w:pos="388" w:val="left" w:leader="none"/>
        </w:tabs>
        <w:spacing w:line="240" w:lineRule="auto" w:before="110" w:after="0"/>
        <w:ind w:left="388" w:right="0" w:hanging="206"/>
        <w:jc w:val="left"/>
        <w:rPr>
          <w:rFonts w:ascii="Arial"/>
          <w:sz w:val="18"/>
        </w:rPr>
      </w:pPr>
      <w:r>
        <w:rPr>
          <w:rFonts w:ascii="Arial"/>
          <w:color w:val="000104"/>
          <w:sz w:val="18"/>
        </w:rPr>
        <w:t>This is a lower bound of the true</w:t>
      </w:r>
      <w:r>
        <w:rPr>
          <w:rFonts w:ascii="Arial"/>
          <w:color w:val="000104"/>
          <w:spacing w:val="-24"/>
          <w:sz w:val="18"/>
        </w:rPr>
        <w:t> </w:t>
      </w:r>
      <w:r>
        <w:rPr>
          <w:rFonts w:ascii="Arial"/>
          <w:color w:val="000104"/>
          <w:sz w:val="18"/>
        </w:rPr>
        <w:t>significance.</w:t>
      </w:r>
    </w:p>
    <w:p>
      <w:pPr>
        <w:pStyle w:val="BodyText"/>
        <w:rPr>
          <w:rFonts w:ascii="Arial"/>
          <w:sz w:val="20"/>
        </w:rPr>
      </w:pPr>
    </w:p>
    <w:p>
      <w:pPr>
        <w:pStyle w:val="BodyText"/>
        <w:rPr>
          <w:rFonts w:ascii="Arial"/>
          <w:sz w:val="20"/>
        </w:rPr>
      </w:pPr>
    </w:p>
    <w:p>
      <w:pPr>
        <w:pStyle w:val="BodyText"/>
        <w:spacing w:before="8"/>
        <w:rPr>
          <w:rFonts w:ascii="Arial"/>
        </w:rPr>
      </w:pPr>
    </w:p>
    <w:p>
      <w:pPr>
        <w:spacing w:before="0" w:after="7"/>
        <w:ind w:left="1008" w:right="0" w:firstLine="0"/>
        <w:jc w:val="left"/>
        <w:rPr>
          <w:rFonts w:ascii="Arial"/>
          <w:b/>
          <w:sz w:val="22"/>
        </w:rPr>
      </w:pPr>
      <w:r>
        <w:rPr>
          <w:rFonts w:ascii="Arial"/>
          <w:b/>
          <w:color w:val="000104"/>
          <w:sz w:val="22"/>
        </w:rPr>
        <w:t>Variables Entered/Removed</w:t>
      </w:r>
      <w:r>
        <w:rPr>
          <w:rFonts w:ascii="Arial"/>
          <w:b/>
          <w:color w:val="000104"/>
          <w:sz w:val="22"/>
          <w:vertAlign w:val="superscript"/>
        </w:rPr>
        <w:t>a</w:t>
      </w:r>
    </w:p>
    <w:tbl>
      <w:tblPr>
        <w:tblW w:w="0" w:type="auto"/>
        <w:jc w:val="left"/>
        <w:tblInd w:w="11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97"/>
        <w:gridCol w:w="1469"/>
        <w:gridCol w:w="1469"/>
        <w:gridCol w:w="1022"/>
      </w:tblGrid>
      <w:tr>
        <w:trPr>
          <w:trHeight w:val="638" w:hRule="atLeast"/>
        </w:trPr>
        <w:tc>
          <w:tcPr>
            <w:tcW w:w="797" w:type="dxa"/>
            <w:tcBorders>
              <w:top w:val="nil"/>
              <w:left w:val="nil"/>
              <w:right w:val="nil"/>
            </w:tcBorders>
          </w:tcPr>
          <w:p>
            <w:pPr>
              <w:pStyle w:val="TableParagraph"/>
              <w:spacing w:line="240" w:lineRule="auto"/>
              <w:jc w:val="left"/>
              <w:rPr>
                <w:rFonts w:ascii="Arial"/>
                <w:b/>
                <w:sz w:val="20"/>
              </w:rPr>
            </w:pPr>
          </w:p>
          <w:p>
            <w:pPr>
              <w:pStyle w:val="TableParagraph"/>
              <w:spacing w:line="240" w:lineRule="auto"/>
              <w:jc w:val="left"/>
              <w:rPr>
                <w:rFonts w:ascii="Arial"/>
                <w:b/>
                <w:sz w:val="17"/>
              </w:rPr>
            </w:pPr>
          </w:p>
          <w:p>
            <w:pPr>
              <w:pStyle w:val="TableParagraph"/>
              <w:spacing w:line="192" w:lineRule="exact" w:before="1"/>
              <w:ind w:left="71"/>
              <w:jc w:val="left"/>
              <w:rPr>
                <w:rFonts w:ascii="Arial"/>
                <w:sz w:val="18"/>
              </w:rPr>
            </w:pPr>
            <w:r>
              <w:rPr>
                <w:rFonts w:ascii="Arial"/>
                <w:color w:val="25495F"/>
                <w:sz w:val="18"/>
              </w:rPr>
              <w:t>Model</w:t>
            </w:r>
          </w:p>
        </w:tc>
        <w:tc>
          <w:tcPr>
            <w:tcW w:w="1469" w:type="dxa"/>
            <w:tcBorders>
              <w:top w:val="nil"/>
              <w:left w:val="nil"/>
              <w:right w:val="single" w:sz="8" w:space="0" w:color="DFDFDF"/>
            </w:tcBorders>
          </w:tcPr>
          <w:p>
            <w:pPr>
              <w:pStyle w:val="TableParagraph"/>
              <w:spacing w:line="316" w:lineRule="exact" w:before="25"/>
              <w:ind w:left="422" w:right="329" w:hanging="63"/>
              <w:jc w:val="left"/>
              <w:rPr>
                <w:rFonts w:ascii="Arial"/>
                <w:sz w:val="18"/>
              </w:rPr>
            </w:pPr>
            <w:r>
              <w:rPr>
                <w:rFonts w:ascii="Arial"/>
                <w:color w:val="25495F"/>
                <w:sz w:val="18"/>
              </w:rPr>
              <w:t>Variables Entered</w:t>
            </w:r>
          </w:p>
        </w:tc>
        <w:tc>
          <w:tcPr>
            <w:tcW w:w="1469" w:type="dxa"/>
            <w:tcBorders>
              <w:top w:val="nil"/>
              <w:left w:val="single" w:sz="8" w:space="0" w:color="DFDFDF"/>
              <w:right w:val="single" w:sz="8" w:space="0" w:color="DFDFDF"/>
            </w:tcBorders>
          </w:tcPr>
          <w:p>
            <w:pPr>
              <w:pStyle w:val="TableParagraph"/>
              <w:spacing w:line="316" w:lineRule="exact" w:before="25"/>
              <w:ind w:left="350" w:right="308" w:firstLine="4"/>
              <w:jc w:val="left"/>
              <w:rPr>
                <w:rFonts w:ascii="Arial"/>
                <w:sz w:val="18"/>
              </w:rPr>
            </w:pPr>
            <w:r>
              <w:rPr>
                <w:rFonts w:ascii="Arial"/>
                <w:color w:val="25495F"/>
                <w:sz w:val="18"/>
              </w:rPr>
              <w:t>Variables Removed</w:t>
            </w:r>
          </w:p>
        </w:tc>
        <w:tc>
          <w:tcPr>
            <w:tcW w:w="1022" w:type="dxa"/>
            <w:tcBorders>
              <w:top w:val="nil"/>
              <w:left w:val="single" w:sz="8" w:space="0" w:color="DFDFDF"/>
              <w:right w:val="nil"/>
            </w:tcBorders>
          </w:tcPr>
          <w:p>
            <w:pPr>
              <w:pStyle w:val="TableParagraph"/>
              <w:spacing w:line="240" w:lineRule="auto"/>
              <w:jc w:val="left"/>
              <w:rPr>
                <w:rFonts w:ascii="Arial"/>
                <w:b/>
                <w:sz w:val="20"/>
              </w:rPr>
            </w:pPr>
          </w:p>
          <w:p>
            <w:pPr>
              <w:pStyle w:val="TableParagraph"/>
              <w:spacing w:line="240" w:lineRule="auto"/>
              <w:jc w:val="left"/>
              <w:rPr>
                <w:rFonts w:ascii="Arial"/>
                <w:b/>
                <w:sz w:val="17"/>
              </w:rPr>
            </w:pPr>
          </w:p>
          <w:p>
            <w:pPr>
              <w:pStyle w:val="TableParagraph"/>
              <w:spacing w:line="192" w:lineRule="exact" w:before="1"/>
              <w:ind w:left="216"/>
              <w:jc w:val="left"/>
              <w:rPr>
                <w:rFonts w:ascii="Arial"/>
                <w:sz w:val="18"/>
              </w:rPr>
            </w:pPr>
            <w:r>
              <w:rPr>
                <w:rFonts w:ascii="Arial"/>
                <w:color w:val="25495F"/>
                <w:sz w:val="18"/>
              </w:rPr>
              <w:t>Method</w:t>
            </w:r>
          </w:p>
        </w:tc>
      </w:tr>
      <w:tr>
        <w:trPr>
          <w:trHeight w:val="940" w:hRule="atLeast"/>
        </w:trPr>
        <w:tc>
          <w:tcPr>
            <w:tcW w:w="797" w:type="dxa"/>
            <w:tcBorders>
              <w:left w:val="nil"/>
              <w:right w:val="nil"/>
            </w:tcBorders>
            <w:shd w:val="clear" w:color="auto" w:fill="DFDFDF"/>
          </w:tcPr>
          <w:p>
            <w:pPr>
              <w:pStyle w:val="TableParagraph"/>
              <w:spacing w:line="240" w:lineRule="auto" w:before="90"/>
              <w:ind w:left="71"/>
              <w:jc w:val="left"/>
              <w:rPr>
                <w:rFonts w:ascii="Arial"/>
                <w:sz w:val="18"/>
              </w:rPr>
            </w:pPr>
            <w:r>
              <w:rPr>
                <w:rFonts w:ascii="Arial"/>
                <w:color w:val="25495F"/>
                <w:w w:val="101"/>
                <w:sz w:val="18"/>
              </w:rPr>
              <w:t>1</w:t>
            </w:r>
          </w:p>
        </w:tc>
        <w:tc>
          <w:tcPr>
            <w:tcW w:w="1469" w:type="dxa"/>
            <w:tcBorders>
              <w:left w:val="nil"/>
              <w:right w:val="single" w:sz="8" w:space="0" w:color="DFDFDF"/>
            </w:tcBorders>
          </w:tcPr>
          <w:p>
            <w:pPr>
              <w:pStyle w:val="TableParagraph"/>
              <w:spacing w:line="240" w:lineRule="auto" w:before="90"/>
              <w:ind w:left="72"/>
              <w:jc w:val="left"/>
              <w:rPr>
                <w:rFonts w:ascii="Arial"/>
                <w:sz w:val="18"/>
              </w:rPr>
            </w:pPr>
            <w:r>
              <w:rPr>
                <w:rFonts w:ascii="Arial"/>
                <w:color w:val="000104"/>
                <w:sz w:val="18"/>
              </w:rPr>
              <w:t>Return</w:t>
            </w:r>
            <w:r>
              <w:rPr>
                <w:rFonts w:ascii="Arial"/>
                <w:color w:val="000104"/>
                <w:spacing w:val="1"/>
                <w:sz w:val="18"/>
              </w:rPr>
              <w:t> </w:t>
            </w:r>
            <w:r>
              <w:rPr>
                <w:rFonts w:ascii="Arial"/>
                <w:color w:val="000104"/>
                <w:sz w:val="18"/>
              </w:rPr>
              <w:t>On</w:t>
            </w:r>
          </w:p>
          <w:p>
            <w:pPr>
              <w:pStyle w:val="TableParagraph"/>
              <w:spacing w:line="310" w:lineRule="atLeast" w:before="12"/>
              <w:ind w:left="72" w:right="50"/>
              <w:jc w:val="left"/>
              <w:rPr>
                <w:rFonts w:ascii="Arial"/>
                <w:sz w:val="18"/>
              </w:rPr>
            </w:pPr>
            <w:r>
              <w:rPr>
                <w:rFonts w:ascii="Arial"/>
                <w:color w:val="000104"/>
                <w:sz w:val="18"/>
              </w:rPr>
              <w:t>Equity, </w:t>
            </w:r>
            <w:r>
              <w:rPr>
                <w:rFonts w:ascii="Arial"/>
                <w:color w:val="000104"/>
                <w:spacing w:val="-4"/>
                <w:sz w:val="18"/>
              </w:rPr>
              <w:t>Return </w:t>
            </w:r>
            <w:r>
              <w:rPr>
                <w:rFonts w:ascii="Arial"/>
                <w:color w:val="000104"/>
                <w:sz w:val="18"/>
              </w:rPr>
              <w:t>On</w:t>
            </w:r>
            <w:r>
              <w:rPr>
                <w:rFonts w:ascii="Arial"/>
                <w:color w:val="000104"/>
                <w:spacing w:val="-3"/>
                <w:sz w:val="18"/>
              </w:rPr>
              <w:t> </w:t>
            </w:r>
            <w:r>
              <w:rPr>
                <w:rFonts w:ascii="Arial"/>
                <w:color w:val="000104"/>
                <w:sz w:val="18"/>
              </w:rPr>
              <w:t>Asset</w:t>
            </w:r>
            <w:r>
              <w:rPr>
                <w:rFonts w:ascii="Arial"/>
                <w:color w:val="000104"/>
                <w:sz w:val="18"/>
                <w:vertAlign w:val="superscript"/>
              </w:rPr>
              <w:t>b</w:t>
            </w:r>
          </w:p>
        </w:tc>
        <w:tc>
          <w:tcPr>
            <w:tcW w:w="1469" w:type="dxa"/>
            <w:tcBorders>
              <w:left w:val="single" w:sz="8" w:space="0" w:color="DFDFDF"/>
              <w:right w:val="single" w:sz="8" w:space="0" w:color="DFDFDF"/>
            </w:tcBorders>
          </w:tcPr>
          <w:p>
            <w:pPr>
              <w:pStyle w:val="TableParagraph"/>
              <w:spacing w:line="240" w:lineRule="auto" w:before="90"/>
              <w:ind w:right="46"/>
              <w:rPr>
                <w:rFonts w:ascii="Arial"/>
                <w:sz w:val="18"/>
              </w:rPr>
            </w:pPr>
            <w:r>
              <w:rPr>
                <w:rFonts w:ascii="Arial"/>
                <w:color w:val="000104"/>
                <w:w w:val="101"/>
                <w:sz w:val="18"/>
              </w:rPr>
              <w:t>.</w:t>
            </w:r>
          </w:p>
        </w:tc>
        <w:tc>
          <w:tcPr>
            <w:tcW w:w="1022" w:type="dxa"/>
            <w:tcBorders>
              <w:left w:val="single" w:sz="8" w:space="0" w:color="DFDFDF"/>
              <w:right w:val="nil"/>
            </w:tcBorders>
          </w:tcPr>
          <w:p>
            <w:pPr>
              <w:pStyle w:val="TableParagraph"/>
              <w:spacing w:line="240" w:lineRule="auto" w:before="90"/>
              <w:ind w:left="72"/>
              <w:jc w:val="left"/>
              <w:rPr>
                <w:rFonts w:ascii="Arial"/>
                <w:sz w:val="18"/>
              </w:rPr>
            </w:pPr>
            <w:r>
              <w:rPr>
                <w:rFonts w:ascii="Arial"/>
                <w:color w:val="000104"/>
                <w:sz w:val="18"/>
              </w:rPr>
              <w:t>Enter</w:t>
            </w:r>
          </w:p>
        </w:tc>
      </w:tr>
    </w:tbl>
    <w:p>
      <w:pPr>
        <w:pStyle w:val="ListParagraph"/>
        <w:numPr>
          <w:ilvl w:val="0"/>
          <w:numId w:val="31"/>
        </w:numPr>
        <w:tabs>
          <w:tab w:pos="388" w:val="left" w:leader="none"/>
        </w:tabs>
        <w:spacing w:line="240" w:lineRule="auto" w:before="109" w:after="0"/>
        <w:ind w:left="388" w:right="0" w:hanging="206"/>
        <w:jc w:val="left"/>
        <w:rPr>
          <w:rFonts w:ascii="Arial"/>
          <w:sz w:val="18"/>
        </w:rPr>
      </w:pPr>
      <w:r>
        <w:rPr>
          <w:rFonts w:ascii="Arial"/>
          <w:color w:val="000104"/>
          <w:spacing w:val="-3"/>
          <w:sz w:val="18"/>
        </w:rPr>
        <w:t>Dependent </w:t>
      </w:r>
      <w:r>
        <w:rPr>
          <w:rFonts w:ascii="Arial"/>
          <w:color w:val="000104"/>
          <w:sz w:val="18"/>
        </w:rPr>
        <w:t>Variable: Harga</w:t>
      </w:r>
      <w:r>
        <w:rPr>
          <w:rFonts w:ascii="Arial"/>
          <w:color w:val="000104"/>
          <w:spacing w:val="15"/>
          <w:sz w:val="18"/>
        </w:rPr>
        <w:t> </w:t>
      </w:r>
      <w:r>
        <w:rPr>
          <w:rFonts w:ascii="Arial"/>
          <w:color w:val="000104"/>
          <w:spacing w:val="-3"/>
          <w:sz w:val="18"/>
        </w:rPr>
        <w:t>Saham</w:t>
      </w:r>
    </w:p>
    <w:p>
      <w:pPr>
        <w:pStyle w:val="ListParagraph"/>
        <w:numPr>
          <w:ilvl w:val="0"/>
          <w:numId w:val="31"/>
        </w:numPr>
        <w:tabs>
          <w:tab w:pos="388" w:val="left" w:leader="none"/>
        </w:tabs>
        <w:spacing w:line="240" w:lineRule="auto" w:before="115" w:after="0"/>
        <w:ind w:left="388" w:right="0" w:hanging="206"/>
        <w:jc w:val="left"/>
        <w:rPr>
          <w:rFonts w:ascii="Arial"/>
          <w:sz w:val="18"/>
        </w:rPr>
      </w:pPr>
      <w:r>
        <w:rPr>
          <w:rFonts w:ascii="Arial"/>
          <w:color w:val="000104"/>
          <w:spacing w:val="-3"/>
          <w:sz w:val="18"/>
        </w:rPr>
        <w:t>All </w:t>
      </w:r>
      <w:r>
        <w:rPr>
          <w:rFonts w:ascii="Arial"/>
          <w:color w:val="000104"/>
          <w:sz w:val="18"/>
        </w:rPr>
        <w:t>requested variables</w:t>
      </w:r>
      <w:r>
        <w:rPr>
          <w:rFonts w:ascii="Arial"/>
          <w:color w:val="000104"/>
          <w:spacing w:val="6"/>
          <w:sz w:val="18"/>
        </w:rPr>
        <w:t> </w:t>
      </w:r>
      <w:r>
        <w:rPr>
          <w:rFonts w:ascii="Arial"/>
          <w:color w:val="000104"/>
          <w:spacing w:val="-3"/>
          <w:sz w:val="18"/>
        </w:rPr>
        <w:t>entered.</w:t>
      </w:r>
    </w:p>
    <w:p>
      <w:pPr>
        <w:spacing w:after="0" w:line="240" w:lineRule="auto"/>
        <w:jc w:val="left"/>
        <w:rPr>
          <w:rFonts w:ascii="Arial"/>
          <w:sz w:val="18"/>
        </w:rPr>
        <w:sectPr>
          <w:footerReference w:type="default" r:id="rId27"/>
          <w:pgSz w:w="11910" w:h="16840"/>
          <w:pgMar w:footer="0" w:header="0" w:top="1580" w:bottom="280" w:left="1580" w:right="1480"/>
        </w:sectPr>
      </w:pPr>
    </w:p>
    <w:p>
      <w:pPr>
        <w:spacing w:before="163" w:after="7"/>
        <w:ind w:left="2194" w:right="0" w:firstLine="0"/>
        <w:jc w:val="left"/>
        <w:rPr>
          <w:rFonts w:ascii="Arial"/>
          <w:b/>
          <w:sz w:val="22"/>
        </w:rPr>
      </w:pPr>
      <w:r>
        <w:rPr>
          <w:rFonts w:ascii="Arial"/>
          <w:b/>
          <w:color w:val="000104"/>
          <w:sz w:val="22"/>
        </w:rPr>
        <w:t>Model Summary</w:t>
      </w:r>
    </w:p>
    <w:tbl>
      <w:tblPr>
        <w:tblW w:w="0" w:type="auto"/>
        <w:jc w:val="left"/>
        <w:tblInd w:w="11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97"/>
        <w:gridCol w:w="1023"/>
        <w:gridCol w:w="1086"/>
        <w:gridCol w:w="1470"/>
        <w:gridCol w:w="1470"/>
      </w:tblGrid>
      <w:tr>
        <w:trPr>
          <w:trHeight w:val="638" w:hRule="atLeast"/>
        </w:trPr>
        <w:tc>
          <w:tcPr>
            <w:tcW w:w="797" w:type="dxa"/>
            <w:tcBorders>
              <w:top w:val="nil"/>
              <w:left w:val="nil"/>
              <w:right w:val="nil"/>
            </w:tcBorders>
          </w:tcPr>
          <w:p>
            <w:pPr>
              <w:pStyle w:val="TableParagraph"/>
              <w:spacing w:line="240" w:lineRule="auto"/>
              <w:jc w:val="left"/>
              <w:rPr>
                <w:rFonts w:ascii="Arial"/>
                <w:b/>
                <w:sz w:val="20"/>
              </w:rPr>
            </w:pPr>
          </w:p>
          <w:p>
            <w:pPr>
              <w:pStyle w:val="TableParagraph"/>
              <w:spacing w:line="240" w:lineRule="auto" w:before="1"/>
              <w:jc w:val="left"/>
              <w:rPr>
                <w:rFonts w:ascii="Arial"/>
                <w:b/>
                <w:sz w:val="17"/>
              </w:rPr>
            </w:pPr>
          </w:p>
          <w:p>
            <w:pPr>
              <w:pStyle w:val="TableParagraph"/>
              <w:spacing w:line="192" w:lineRule="exact"/>
              <w:ind w:left="71"/>
              <w:jc w:val="left"/>
              <w:rPr>
                <w:rFonts w:ascii="Arial"/>
                <w:sz w:val="18"/>
              </w:rPr>
            </w:pPr>
            <w:r>
              <w:rPr>
                <w:rFonts w:ascii="Arial"/>
                <w:color w:val="25495F"/>
                <w:sz w:val="18"/>
              </w:rPr>
              <w:t>Model</w:t>
            </w:r>
          </w:p>
        </w:tc>
        <w:tc>
          <w:tcPr>
            <w:tcW w:w="1023" w:type="dxa"/>
            <w:tcBorders>
              <w:top w:val="nil"/>
              <w:left w:val="nil"/>
              <w:right w:val="single" w:sz="8" w:space="0" w:color="DFDFDF"/>
            </w:tcBorders>
          </w:tcPr>
          <w:p>
            <w:pPr>
              <w:pStyle w:val="TableParagraph"/>
              <w:spacing w:line="240" w:lineRule="auto"/>
              <w:jc w:val="left"/>
              <w:rPr>
                <w:rFonts w:ascii="Arial"/>
                <w:b/>
                <w:sz w:val="20"/>
              </w:rPr>
            </w:pPr>
          </w:p>
          <w:p>
            <w:pPr>
              <w:pStyle w:val="TableParagraph"/>
              <w:spacing w:line="240" w:lineRule="auto" w:before="1"/>
              <w:jc w:val="left"/>
              <w:rPr>
                <w:rFonts w:ascii="Arial"/>
                <w:b/>
                <w:sz w:val="17"/>
              </w:rPr>
            </w:pPr>
          </w:p>
          <w:p>
            <w:pPr>
              <w:pStyle w:val="TableParagraph"/>
              <w:spacing w:line="192" w:lineRule="exact"/>
              <w:ind w:left="21"/>
              <w:jc w:val="center"/>
              <w:rPr>
                <w:rFonts w:ascii="Arial"/>
                <w:sz w:val="18"/>
              </w:rPr>
            </w:pPr>
            <w:r>
              <w:rPr>
                <w:rFonts w:ascii="Arial"/>
                <w:color w:val="25495F"/>
                <w:w w:val="101"/>
                <w:sz w:val="18"/>
              </w:rPr>
              <w:t>R</w:t>
            </w:r>
          </w:p>
        </w:tc>
        <w:tc>
          <w:tcPr>
            <w:tcW w:w="1086" w:type="dxa"/>
            <w:tcBorders>
              <w:top w:val="nil"/>
              <w:left w:val="single" w:sz="8" w:space="0" w:color="DFDFDF"/>
              <w:right w:val="single" w:sz="8" w:space="0" w:color="DFDFDF"/>
            </w:tcBorders>
          </w:tcPr>
          <w:p>
            <w:pPr>
              <w:pStyle w:val="TableParagraph"/>
              <w:spacing w:line="240" w:lineRule="auto"/>
              <w:jc w:val="left"/>
              <w:rPr>
                <w:rFonts w:ascii="Arial"/>
                <w:b/>
                <w:sz w:val="20"/>
              </w:rPr>
            </w:pPr>
          </w:p>
          <w:p>
            <w:pPr>
              <w:pStyle w:val="TableParagraph"/>
              <w:spacing w:line="240" w:lineRule="auto" w:before="1"/>
              <w:jc w:val="left"/>
              <w:rPr>
                <w:rFonts w:ascii="Arial"/>
                <w:b/>
                <w:sz w:val="17"/>
              </w:rPr>
            </w:pPr>
          </w:p>
          <w:p>
            <w:pPr>
              <w:pStyle w:val="TableParagraph"/>
              <w:spacing w:line="192" w:lineRule="exact"/>
              <w:ind w:left="162"/>
              <w:jc w:val="left"/>
              <w:rPr>
                <w:rFonts w:ascii="Arial"/>
                <w:sz w:val="18"/>
              </w:rPr>
            </w:pPr>
            <w:r>
              <w:rPr>
                <w:rFonts w:ascii="Arial"/>
                <w:color w:val="25495F"/>
                <w:sz w:val="18"/>
              </w:rPr>
              <w:t>R Square</w:t>
            </w:r>
          </w:p>
        </w:tc>
        <w:tc>
          <w:tcPr>
            <w:tcW w:w="1470" w:type="dxa"/>
            <w:tcBorders>
              <w:top w:val="nil"/>
              <w:left w:val="single" w:sz="8" w:space="0" w:color="DFDFDF"/>
              <w:right w:val="single" w:sz="8" w:space="0" w:color="DFDFDF"/>
            </w:tcBorders>
          </w:tcPr>
          <w:p>
            <w:pPr>
              <w:pStyle w:val="TableParagraph"/>
              <w:spacing w:line="318" w:lineRule="exact" w:before="24"/>
              <w:ind w:left="445" w:right="253" w:hanging="149"/>
              <w:jc w:val="left"/>
              <w:rPr>
                <w:rFonts w:ascii="Arial"/>
                <w:sz w:val="18"/>
              </w:rPr>
            </w:pPr>
            <w:r>
              <w:rPr>
                <w:rFonts w:ascii="Arial"/>
                <w:color w:val="25495F"/>
                <w:sz w:val="18"/>
              </w:rPr>
              <w:t>Adjusted R Square</w:t>
            </w:r>
          </w:p>
        </w:tc>
        <w:tc>
          <w:tcPr>
            <w:tcW w:w="1470" w:type="dxa"/>
            <w:tcBorders>
              <w:top w:val="nil"/>
              <w:left w:val="single" w:sz="8" w:space="0" w:color="DFDFDF"/>
              <w:right w:val="nil"/>
            </w:tcBorders>
          </w:tcPr>
          <w:p>
            <w:pPr>
              <w:pStyle w:val="TableParagraph"/>
              <w:spacing w:line="318" w:lineRule="exact" w:before="24"/>
              <w:ind w:left="391" w:right="66" w:hanging="288"/>
              <w:jc w:val="left"/>
              <w:rPr>
                <w:rFonts w:ascii="Arial"/>
                <w:sz w:val="18"/>
              </w:rPr>
            </w:pPr>
            <w:r>
              <w:rPr>
                <w:rFonts w:ascii="Arial"/>
                <w:color w:val="25495F"/>
                <w:sz w:val="18"/>
              </w:rPr>
              <w:t>Std. Error of the Estimate</w:t>
            </w:r>
          </w:p>
        </w:tc>
      </w:tr>
      <w:tr>
        <w:trPr>
          <w:trHeight w:val="298" w:hRule="atLeast"/>
        </w:trPr>
        <w:tc>
          <w:tcPr>
            <w:tcW w:w="797" w:type="dxa"/>
            <w:tcBorders>
              <w:left w:val="nil"/>
              <w:right w:val="nil"/>
            </w:tcBorders>
            <w:shd w:val="clear" w:color="auto" w:fill="DFDFDF"/>
          </w:tcPr>
          <w:p>
            <w:pPr>
              <w:pStyle w:val="TableParagraph"/>
              <w:spacing w:line="192" w:lineRule="exact" w:before="87"/>
              <w:ind w:left="71"/>
              <w:jc w:val="left"/>
              <w:rPr>
                <w:rFonts w:ascii="Arial"/>
                <w:sz w:val="18"/>
              </w:rPr>
            </w:pPr>
            <w:r>
              <w:rPr>
                <w:rFonts w:ascii="Arial"/>
                <w:color w:val="25495F"/>
                <w:w w:val="101"/>
                <w:sz w:val="18"/>
              </w:rPr>
              <w:t>1</w:t>
            </w:r>
          </w:p>
        </w:tc>
        <w:tc>
          <w:tcPr>
            <w:tcW w:w="1023" w:type="dxa"/>
            <w:tcBorders>
              <w:left w:val="nil"/>
              <w:right w:val="single" w:sz="8" w:space="0" w:color="DFDFDF"/>
            </w:tcBorders>
          </w:tcPr>
          <w:p>
            <w:pPr>
              <w:pStyle w:val="TableParagraph"/>
              <w:spacing w:line="192" w:lineRule="exact" w:before="87"/>
              <w:ind w:left="547"/>
              <w:jc w:val="left"/>
              <w:rPr>
                <w:rFonts w:ascii="Arial"/>
                <w:sz w:val="18"/>
              </w:rPr>
            </w:pPr>
            <w:r>
              <w:rPr>
                <w:rFonts w:ascii="Arial"/>
                <w:color w:val="000104"/>
                <w:sz w:val="18"/>
              </w:rPr>
              <w:t>.597</w:t>
            </w:r>
            <w:r>
              <w:rPr>
                <w:rFonts w:ascii="Arial"/>
                <w:color w:val="000104"/>
                <w:sz w:val="18"/>
                <w:vertAlign w:val="superscript"/>
              </w:rPr>
              <w:t>a</w:t>
            </w:r>
          </w:p>
        </w:tc>
        <w:tc>
          <w:tcPr>
            <w:tcW w:w="1086" w:type="dxa"/>
            <w:tcBorders>
              <w:left w:val="single" w:sz="8" w:space="0" w:color="DFDFDF"/>
              <w:right w:val="single" w:sz="8" w:space="0" w:color="DFDFDF"/>
            </w:tcBorders>
          </w:tcPr>
          <w:p>
            <w:pPr>
              <w:pStyle w:val="TableParagraph"/>
              <w:spacing w:line="192" w:lineRule="exact" w:before="87"/>
              <w:ind w:left="666"/>
              <w:jc w:val="left"/>
              <w:rPr>
                <w:rFonts w:ascii="Arial"/>
                <w:sz w:val="18"/>
              </w:rPr>
            </w:pPr>
            <w:r>
              <w:rPr>
                <w:rFonts w:ascii="Arial"/>
                <w:color w:val="000104"/>
                <w:sz w:val="18"/>
              </w:rPr>
              <w:t>.356</w:t>
            </w:r>
          </w:p>
        </w:tc>
        <w:tc>
          <w:tcPr>
            <w:tcW w:w="1470" w:type="dxa"/>
            <w:tcBorders>
              <w:left w:val="single" w:sz="8" w:space="0" w:color="DFDFDF"/>
              <w:right w:val="single" w:sz="8" w:space="0" w:color="DFDFDF"/>
            </w:tcBorders>
          </w:tcPr>
          <w:p>
            <w:pPr>
              <w:pStyle w:val="TableParagraph"/>
              <w:spacing w:line="192" w:lineRule="exact" w:before="87"/>
              <w:ind w:right="41"/>
              <w:rPr>
                <w:rFonts w:ascii="Arial"/>
                <w:sz w:val="18"/>
              </w:rPr>
            </w:pPr>
            <w:r>
              <w:rPr>
                <w:rFonts w:ascii="Arial"/>
                <w:color w:val="000104"/>
                <w:sz w:val="18"/>
              </w:rPr>
              <w:t>.316</w:t>
            </w:r>
          </w:p>
        </w:tc>
        <w:tc>
          <w:tcPr>
            <w:tcW w:w="1470" w:type="dxa"/>
            <w:tcBorders>
              <w:left w:val="single" w:sz="8" w:space="0" w:color="DFDFDF"/>
              <w:right w:val="nil"/>
            </w:tcBorders>
          </w:tcPr>
          <w:p>
            <w:pPr>
              <w:pStyle w:val="TableParagraph"/>
              <w:spacing w:line="192" w:lineRule="exact" w:before="87"/>
              <w:ind w:left="459"/>
              <w:jc w:val="left"/>
              <w:rPr>
                <w:rFonts w:ascii="Arial"/>
                <w:sz w:val="18"/>
              </w:rPr>
            </w:pPr>
            <w:r>
              <w:rPr>
                <w:rFonts w:ascii="Arial"/>
                <w:color w:val="000104"/>
                <w:sz w:val="18"/>
              </w:rPr>
              <w:t>6899.82809</w:t>
            </w:r>
          </w:p>
        </w:tc>
      </w:tr>
    </w:tbl>
    <w:p>
      <w:pPr>
        <w:spacing w:before="109"/>
        <w:ind w:left="182" w:right="0" w:firstLine="0"/>
        <w:jc w:val="left"/>
        <w:rPr>
          <w:rFonts w:ascii="Arial"/>
          <w:sz w:val="18"/>
        </w:rPr>
      </w:pPr>
      <w:r>
        <w:rPr>
          <w:rFonts w:ascii="Arial"/>
          <w:color w:val="000104"/>
          <w:sz w:val="18"/>
        </w:rPr>
        <w:t>a. Predictors: (Constant), Return On Equity, Return On Asset</w:t>
      </w:r>
    </w:p>
    <w:p>
      <w:pPr>
        <w:pStyle w:val="BodyText"/>
        <w:rPr>
          <w:rFonts w:ascii="Arial"/>
          <w:sz w:val="20"/>
        </w:rPr>
      </w:pPr>
    </w:p>
    <w:p>
      <w:pPr>
        <w:spacing w:before="180"/>
        <w:ind w:left="119" w:right="0" w:firstLine="0"/>
        <w:jc w:val="left"/>
        <w:rPr>
          <w:rFonts w:ascii="Calibri"/>
          <w:sz w:val="22"/>
        </w:rPr>
      </w:pPr>
      <w:r>
        <w:rPr>
          <w:rFonts w:ascii="Calibri"/>
          <w:sz w:val="22"/>
        </w:rPr>
        <w:t>Uji F</w:t>
      </w:r>
    </w:p>
    <w:p>
      <w:pPr>
        <w:pStyle w:val="BodyText"/>
        <w:rPr>
          <w:rFonts w:ascii="Calibri"/>
          <w:sz w:val="20"/>
        </w:rPr>
      </w:pPr>
    </w:p>
    <w:p>
      <w:pPr>
        <w:pStyle w:val="BodyText"/>
        <w:rPr>
          <w:rFonts w:ascii="Calibri"/>
          <w:sz w:val="22"/>
        </w:rPr>
      </w:pPr>
    </w:p>
    <w:p>
      <w:pPr>
        <w:spacing w:before="0" w:after="7"/>
        <w:ind w:left="3702" w:right="0" w:firstLine="0"/>
        <w:jc w:val="left"/>
        <w:rPr>
          <w:rFonts w:ascii="Arial"/>
          <w:b/>
          <w:sz w:val="22"/>
        </w:rPr>
      </w:pPr>
      <w:r>
        <w:rPr>
          <w:rFonts w:ascii="Arial"/>
          <w:b/>
          <w:color w:val="000104"/>
          <w:sz w:val="22"/>
        </w:rPr>
        <w:t>ANOVA</w:t>
      </w:r>
      <w:r>
        <w:rPr>
          <w:rFonts w:ascii="Arial"/>
          <w:b/>
          <w:color w:val="000104"/>
          <w:sz w:val="22"/>
          <w:vertAlign w:val="superscript"/>
        </w:rPr>
        <w:t>a</w:t>
      </w:r>
    </w:p>
    <w:tbl>
      <w:tblPr>
        <w:tblW w:w="0" w:type="auto"/>
        <w:jc w:val="left"/>
        <w:tblInd w:w="12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287"/>
        <w:gridCol w:w="1465"/>
        <w:gridCol w:w="1028"/>
        <w:gridCol w:w="1470"/>
        <w:gridCol w:w="1029"/>
        <w:gridCol w:w="1024"/>
      </w:tblGrid>
      <w:tr>
        <w:trPr>
          <w:trHeight w:val="321" w:hRule="atLeast"/>
        </w:trPr>
        <w:tc>
          <w:tcPr>
            <w:tcW w:w="735" w:type="dxa"/>
            <w:tcBorders>
              <w:top w:val="nil"/>
              <w:left w:val="nil"/>
              <w:right w:val="nil"/>
            </w:tcBorders>
          </w:tcPr>
          <w:p>
            <w:pPr>
              <w:pStyle w:val="TableParagraph"/>
              <w:spacing w:line="192" w:lineRule="exact" w:before="109"/>
              <w:ind w:left="62"/>
              <w:jc w:val="left"/>
              <w:rPr>
                <w:rFonts w:ascii="Arial"/>
                <w:sz w:val="18"/>
              </w:rPr>
            </w:pPr>
            <w:r>
              <w:rPr>
                <w:rFonts w:ascii="Arial"/>
                <w:color w:val="25495F"/>
                <w:sz w:val="18"/>
              </w:rPr>
              <w:t>Model</w:t>
            </w:r>
          </w:p>
        </w:tc>
        <w:tc>
          <w:tcPr>
            <w:tcW w:w="1287" w:type="dxa"/>
            <w:tcBorders>
              <w:top w:val="nil"/>
              <w:left w:val="nil"/>
              <w:right w:val="nil"/>
            </w:tcBorders>
          </w:tcPr>
          <w:p>
            <w:pPr>
              <w:pStyle w:val="TableParagraph"/>
              <w:spacing w:line="240" w:lineRule="auto"/>
              <w:jc w:val="left"/>
              <w:rPr>
                <w:sz w:val="18"/>
              </w:rPr>
            </w:pPr>
          </w:p>
        </w:tc>
        <w:tc>
          <w:tcPr>
            <w:tcW w:w="1465" w:type="dxa"/>
            <w:tcBorders>
              <w:top w:val="nil"/>
              <w:left w:val="nil"/>
              <w:right w:val="single" w:sz="8" w:space="0" w:color="DFDFDF"/>
            </w:tcBorders>
          </w:tcPr>
          <w:p>
            <w:pPr>
              <w:pStyle w:val="TableParagraph"/>
              <w:spacing w:line="192" w:lineRule="exact" w:before="109"/>
              <w:ind w:left="36" w:right="37"/>
              <w:jc w:val="center"/>
              <w:rPr>
                <w:rFonts w:ascii="Arial"/>
                <w:sz w:val="18"/>
              </w:rPr>
            </w:pPr>
            <w:r>
              <w:rPr>
                <w:rFonts w:ascii="Arial"/>
                <w:color w:val="25495F"/>
                <w:sz w:val="18"/>
              </w:rPr>
              <w:t>Sum of Squares</w:t>
            </w:r>
          </w:p>
        </w:tc>
        <w:tc>
          <w:tcPr>
            <w:tcW w:w="1028" w:type="dxa"/>
            <w:tcBorders>
              <w:top w:val="nil"/>
              <w:left w:val="single" w:sz="8" w:space="0" w:color="DFDFDF"/>
              <w:right w:val="single" w:sz="8" w:space="0" w:color="DFDFDF"/>
            </w:tcBorders>
          </w:tcPr>
          <w:p>
            <w:pPr>
              <w:pStyle w:val="TableParagraph"/>
              <w:spacing w:line="192" w:lineRule="exact" w:before="109"/>
              <w:ind w:left="410" w:right="406"/>
              <w:jc w:val="center"/>
              <w:rPr>
                <w:rFonts w:ascii="Arial"/>
                <w:sz w:val="18"/>
              </w:rPr>
            </w:pPr>
            <w:r>
              <w:rPr>
                <w:rFonts w:ascii="Arial"/>
                <w:color w:val="25495F"/>
                <w:sz w:val="18"/>
              </w:rPr>
              <w:t>df</w:t>
            </w:r>
          </w:p>
        </w:tc>
        <w:tc>
          <w:tcPr>
            <w:tcW w:w="1470" w:type="dxa"/>
            <w:tcBorders>
              <w:top w:val="nil"/>
              <w:left w:val="single" w:sz="8" w:space="0" w:color="DFDFDF"/>
              <w:right w:val="single" w:sz="8" w:space="0" w:color="DFDFDF"/>
            </w:tcBorders>
          </w:tcPr>
          <w:p>
            <w:pPr>
              <w:pStyle w:val="TableParagraph"/>
              <w:spacing w:line="192" w:lineRule="exact" w:before="109"/>
              <w:ind w:left="42" w:right="42"/>
              <w:jc w:val="center"/>
              <w:rPr>
                <w:rFonts w:ascii="Arial"/>
                <w:sz w:val="18"/>
              </w:rPr>
            </w:pPr>
            <w:r>
              <w:rPr>
                <w:rFonts w:ascii="Arial"/>
                <w:color w:val="25495F"/>
                <w:sz w:val="18"/>
              </w:rPr>
              <w:t>Mean Square</w:t>
            </w:r>
          </w:p>
        </w:tc>
        <w:tc>
          <w:tcPr>
            <w:tcW w:w="1029" w:type="dxa"/>
            <w:tcBorders>
              <w:top w:val="nil"/>
              <w:left w:val="single" w:sz="8" w:space="0" w:color="DFDFDF"/>
              <w:right w:val="single" w:sz="8" w:space="0" w:color="DFDFDF"/>
            </w:tcBorders>
          </w:tcPr>
          <w:p>
            <w:pPr>
              <w:pStyle w:val="TableParagraph"/>
              <w:spacing w:line="192" w:lineRule="exact" w:before="109"/>
              <w:ind w:left="448"/>
              <w:jc w:val="left"/>
              <w:rPr>
                <w:rFonts w:ascii="Arial"/>
                <w:sz w:val="18"/>
              </w:rPr>
            </w:pPr>
            <w:r>
              <w:rPr>
                <w:rFonts w:ascii="Arial"/>
                <w:color w:val="25495F"/>
                <w:w w:val="101"/>
                <w:sz w:val="18"/>
              </w:rPr>
              <w:t>F</w:t>
            </w:r>
          </w:p>
        </w:tc>
        <w:tc>
          <w:tcPr>
            <w:tcW w:w="1024" w:type="dxa"/>
            <w:tcBorders>
              <w:top w:val="nil"/>
              <w:left w:val="single" w:sz="8" w:space="0" w:color="DFDFDF"/>
              <w:right w:val="nil"/>
            </w:tcBorders>
          </w:tcPr>
          <w:p>
            <w:pPr>
              <w:pStyle w:val="TableParagraph"/>
              <w:spacing w:line="192" w:lineRule="exact" w:before="109"/>
              <w:ind w:left="330" w:right="333"/>
              <w:jc w:val="center"/>
              <w:rPr>
                <w:rFonts w:ascii="Arial"/>
                <w:sz w:val="18"/>
              </w:rPr>
            </w:pPr>
            <w:r>
              <w:rPr>
                <w:rFonts w:ascii="Arial"/>
                <w:color w:val="25495F"/>
                <w:sz w:val="18"/>
              </w:rPr>
              <w:t>Sig.</w:t>
            </w:r>
          </w:p>
        </w:tc>
      </w:tr>
      <w:tr>
        <w:trPr>
          <w:trHeight w:val="320" w:hRule="atLeast"/>
        </w:trPr>
        <w:tc>
          <w:tcPr>
            <w:tcW w:w="735" w:type="dxa"/>
            <w:vMerge w:val="restart"/>
            <w:tcBorders>
              <w:left w:val="nil"/>
              <w:right w:val="nil"/>
            </w:tcBorders>
            <w:shd w:val="clear" w:color="auto" w:fill="DFDFDF"/>
          </w:tcPr>
          <w:p>
            <w:pPr>
              <w:pStyle w:val="TableParagraph"/>
              <w:spacing w:line="240" w:lineRule="auto" w:before="109"/>
              <w:ind w:left="62"/>
              <w:jc w:val="left"/>
              <w:rPr>
                <w:rFonts w:ascii="Arial"/>
                <w:sz w:val="18"/>
              </w:rPr>
            </w:pPr>
            <w:r>
              <w:rPr>
                <w:rFonts w:ascii="Arial"/>
                <w:color w:val="25495F"/>
                <w:w w:val="101"/>
                <w:sz w:val="18"/>
              </w:rPr>
              <w:t>1</w:t>
            </w:r>
          </w:p>
        </w:tc>
        <w:tc>
          <w:tcPr>
            <w:tcW w:w="1287" w:type="dxa"/>
            <w:tcBorders>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Regression</w:t>
            </w:r>
          </w:p>
        </w:tc>
        <w:tc>
          <w:tcPr>
            <w:tcW w:w="1465" w:type="dxa"/>
            <w:tcBorders>
              <w:left w:val="nil"/>
              <w:bottom w:val="single" w:sz="8" w:space="0" w:color="ADADAD"/>
              <w:right w:val="single" w:sz="8" w:space="0" w:color="DFDFDF"/>
            </w:tcBorders>
          </w:tcPr>
          <w:p>
            <w:pPr>
              <w:pStyle w:val="TableParagraph"/>
              <w:spacing w:line="192" w:lineRule="exact" w:before="109"/>
              <w:ind w:left="126" w:right="37"/>
              <w:jc w:val="center"/>
              <w:rPr>
                <w:rFonts w:ascii="Arial"/>
                <w:sz w:val="18"/>
              </w:rPr>
            </w:pPr>
            <w:r>
              <w:rPr>
                <w:rFonts w:ascii="Arial"/>
                <w:color w:val="000104"/>
                <w:sz w:val="18"/>
              </w:rPr>
              <w:t>843050793.200</w:t>
            </w:r>
          </w:p>
        </w:tc>
        <w:tc>
          <w:tcPr>
            <w:tcW w:w="1028" w:type="dxa"/>
            <w:tcBorders>
              <w:left w:val="single" w:sz="8" w:space="0" w:color="DFDFDF"/>
              <w:bottom w:val="single" w:sz="8" w:space="0" w:color="ADADAD"/>
              <w:right w:val="single" w:sz="8" w:space="0" w:color="DFDFDF"/>
            </w:tcBorders>
          </w:tcPr>
          <w:p>
            <w:pPr>
              <w:pStyle w:val="TableParagraph"/>
              <w:spacing w:line="192" w:lineRule="exact" w:before="109"/>
              <w:ind w:right="55"/>
              <w:rPr>
                <w:rFonts w:ascii="Arial"/>
                <w:sz w:val="18"/>
              </w:rPr>
            </w:pPr>
            <w:r>
              <w:rPr>
                <w:rFonts w:ascii="Arial"/>
                <w:color w:val="000104"/>
                <w:w w:val="101"/>
                <w:sz w:val="18"/>
              </w:rPr>
              <w:t>2</w:t>
            </w:r>
          </w:p>
        </w:tc>
        <w:tc>
          <w:tcPr>
            <w:tcW w:w="1470" w:type="dxa"/>
            <w:tcBorders>
              <w:left w:val="single" w:sz="8" w:space="0" w:color="DFDFDF"/>
              <w:bottom w:val="single" w:sz="8" w:space="0" w:color="ADADAD"/>
              <w:right w:val="single" w:sz="8" w:space="0" w:color="DFDFDF"/>
            </w:tcBorders>
          </w:tcPr>
          <w:p>
            <w:pPr>
              <w:pStyle w:val="TableParagraph"/>
              <w:spacing w:line="192" w:lineRule="exact" w:before="109"/>
              <w:ind w:left="115" w:right="42"/>
              <w:jc w:val="center"/>
              <w:rPr>
                <w:rFonts w:ascii="Arial"/>
                <w:sz w:val="18"/>
              </w:rPr>
            </w:pPr>
            <w:r>
              <w:rPr>
                <w:rFonts w:ascii="Arial"/>
                <w:color w:val="000104"/>
                <w:sz w:val="18"/>
              </w:rPr>
              <w:t>421525396.600</w:t>
            </w:r>
          </w:p>
        </w:tc>
        <w:tc>
          <w:tcPr>
            <w:tcW w:w="1029" w:type="dxa"/>
            <w:tcBorders>
              <w:left w:val="single" w:sz="8" w:space="0" w:color="DFDFDF"/>
              <w:bottom w:val="single" w:sz="8" w:space="0" w:color="ADADAD"/>
              <w:right w:val="single" w:sz="8" w:space="0" w:color="DFDFDF"/>
            </w:tcBorders>
          </w:tcPr>
          <w:p>
            <w:pPr>
              <w:pStyle w:val="TableParagraph"/>
              <w:spacing w:line="192" w:lineRule="exact" w:before="109"/>
              <w:ind w:left="497"/>
              <w:jc w:val="left"/>
              <w:rPr>
                <w:rFonts w:ascii="Arial"/>
                <w:sz w:val="18"/>
              </w:rPr>
            </w:pPr>
            <w:r>
              <w:rPr>
                <w:rFonts w:ascii="Arial"/>
                <w:color w:val="000104"/>
                <w:sz w:val="18"/>
              </w:rPr>
              <w:t>8.854</w:t>
            </w:r>
          </w:p>
        </w:tc>
        <w:tc>
          <w:tcPr>
            <w:tcW w:w="1024" w:type="dxa"/>
            <w:tcBorders>
              <w:left w:val="single" w:sz="8" w:space="0" w:color="DFDFDF"/>
              <w:bottom w:val="single" w:sz="8" w:space="0" w:color="ADADAD"/>
              <w:right w:val="nil"/>
            </w:tcBorders>
          </w:tcPr>
          <w:p>
            <w:pPr>
              <w:pStyle w:val="TableParagraph"/>
              <w:spacing w:line="192" w:lineRule="exact" w:before="109"/>
              <w:ind w:left="534"/>
              <w:jc w:val="left"/>
              <w:rPr>
                <w:rFonts w:ascii="Arial"/>
                <w:sz w:val="18"/>
              </w:rPr>
            </w:pPr>
            <w:r>
              <w:rPr>
                <w:rFonts w:ascii="Arial"/>
                <w:color w:val="000104"/>
                <w:sz w:val="18"/>
              </w:rPr>
              <w:t>.001</w:t>
            </w:r>
            <w:r>
              <w:rPr>
                <w:rFonts w:ascii="Arial"/>
                <w:color w:val="000104"/>
                <w:sz w:val="18"/>
                <w:vertAlign w:val="superscript"/>
              </w:rPr>
              <w:t>b</w:t>
            </w:r>
          </w:p>
        </w:tc>
      </w:tr>
      <w:tr>
        <w:trPr>
          <w:trHeight w:val="638" w:hRule="atLeast"/>
        </w:trPr>
        <w:tc>
          <w:tcPr>
            <w:tcW w:w="735" w:type="dxa"/>
            <w:vMerge/>
            <w:tcBorders>
              <w:top w:val="nil"/>
              <w:left w:val="nil"/>
              <w:right w:val="nil"/>
            </w:tcBorders>
            <w:shd w:val="clear" w:color="auto" w:fill="DFDFDF"/>
          </w:tcPr>
          <w:p>
            <w:pPr>
              <w:rPr>
                <w:sz w:val="2"/>
                <w:szCs w:val="2"/>
              </w:rPr>
            </w:pPr>
          </w:p>
        </w:tc>
        <w:tc>
          <w:tcPr>
            <w:tcW w:w="1287" w:type="dxa"/>
            <w:tcBorders>
              <w:top w:val="single" w:sz="8" w:space="0" w:color="ADADAD"/>
              <w:left w:val="nil"/>
              <w:bottom w:val="single" w:sz="8" w:space="0" w:color="ADADAD"/>
              <w:right w:val="nil"/>
            </w:tcBorders>
            <w:shd w:val="clear" w:color="auto" w:fill="DFDFDF"/>
          </w:tcPr>
          <w:p>
            <w:pPr>
              <w:pStyle w:val="TableParagraph"/>
              <w:spacing w:line="240" w:lineRule="auto" w:before="109"/>
              <w:ind w:left="62"/>
              <w:jc w:val="left"/>
              <w:rPr>
                <w:rFonts w:ascii="Arial"/>
                <w:sz w:val="18"/>
              </w:rPr>
            </w:pPr>
            <w:r>
              <w:rPr>
                <w:rFonts w:ascii="Arial"/>
                <w:color w:val="25495F"/>
                <w:sz w:val="18"/>
              </w:rPr>
              <w:t>Residual</w:t>
            </w:r>
          </w:p>
        </w:tc>
        <w:tc>
          <w:tcPr>
            <w:tcW w:w="1465" w:type="dxa"/>
            <w:tcBorders>
              <w:top w:val="single" w:sz="8" w:space="0" w:color="ADADAD"/>
              <w:left w:val="nil"/>
              <w:bottom w:val="single" w:sz="8" w:space="0" w:color="ADADAD"/>
              <w:right w:val="single" w:sz="8" w:space="0" w:color="DFDFDF"/>
            </w:tcBorders>
          </w:tcPr>
          <w:p>
            <w:pPr>
              <w:pStyle w:val="TableParagraph"/>
              <w:spacing w:line="240" w:lineRule="auto" w:before="109"/>
              <w:ind w:left="143"/>
              <w:jc w:val="left"/>
              <w:rPr>
                <w:rFonts w:ascii="Arial"/>
                <w:sz w:val="18"/>
              </w:rPr>
            </w:pPr>
            <w:r>
              <w:rPr>
                <w:rFonts w:ascii="Arial"/>
                <w:color w:val="000104"/>
                <w:sz w:val="18"/>
              </w:rPr>
              <w:t>1523444083.00</w:t>
            </w:r>
          </w:p>
          <w:p>
            <w:pPr>
              <w:pStyle w:val="TableParagraph"/>
              <w:spacing w:line="192" w:lineRule="exact" w:before="110"/>
              <w:ind w:right="55"/>
              <w:rPr>
                <w:rFonts w:ascii="Arial"/>
                <w:sz w:val="18"/>
              </w:rPr>
            </w:pPr>
            <w:r>
              <w:rPr>
                <w:rFonts w:ascii="Arial"/>
                <w:color w:val="000104"/>
                <w:w w:val="101"/>
                <w:sz w:val="18"/>
              </w:rPr>
              <w:t>0</w:t>
            </w:r>
          </w:p>
        </w:tc>
        <w:tc>
          <w:tcPr>
            <w:tcW w:w="1028"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09"/>
              <w:ind w:right="56"/>
              <w:rPr>
                <w:rFonts w:ascii="Arial"/>
                <w:sz w:val="18"/>
              </w:rPr>
            </w:pPr>
            <w:r>
              <w:rPr>
                <w:rFonts w:ascii="Arial"/>
                <w:color w:val="000104"/>
                <w:sz w:val="18"/>
              </w:rPr>
              <w:t>32</w:t>
            </w:r>
          </w:p>
        </w:tc>
        <w:tc>
          <w:tcPr>
            <w:tcW w:w="1470"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09"/>
              <w:ind w:left="216" w:right="42"/>
              <w:jc w:val="center"/>
              <w:rPr>
                <w:rFonts w:ascii="Arial"/>
                <w:sz w:val="18"/>
              </w:rPr>
            </w:pPr>
            <w:r>
              <w:rPr>
                <w:rFonts w:ascii="Arial"/>
                <w:color w:val="000104"/>
                <w:sz w:val="18"/>
              </w:rPr>
              <w:t>47607627.610</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jc w:val="left"/>
              <w:rPr>
                <w:sz w:val="18"/>
              </w:rPr>
            </w:pPr>
          </w:p>
        </w:tc>
        <w:tc>
          <w:tcPr>
            <w:tcW w:w="1024" w:type="dxa"/>
            <w:tcBorders>
              <w:top w:val="single" w:sz="8" w:space="0" w:color="ADADAD"/>
              <w:left w:val="single" w:sz="8" w:space="0" w:color="DFDFDF"/>
              <w:bottom w:val="single" w:sz="8" w:space="0" w:color="ADADAD"/>
              <w:right w:val="nil"/>
            </w:tcBorders>
          </w:tcPr>
          <w:p>
            <w:pPr>
              <w:pStyle w:val="TableParagraph"/>
              <w:spacing w:line="240" w:lineRule="auto"/>
              <w:jc w:val="left"/>
              <w:rPr>
                <w:sz w:val="18"/>
              </w:rPr>
            </w:pPr>
          </w:p>
        </w:tc>
      </w:tr>
      <w:tr>
        <w:trPr>
          <w:trHeight w:val="642" w:hRule="atLeast"/>
        </w:trPr>
        <w:tc>
          <w:tcPr>
            <w:tcW w:w="735" w:type="dxa"/>
            <w:vMerge/>
            <w:tcBorders>
              <w:top w:val="nil"/>
              <w:left w:val="nil"/>
              <w:right w:val="nil"/>
            </w:tcBorders>
            <w:shd w:val="clear" w:color="auto" w:fill="DFDFDF"/>
          </w:tcPr>
          <w:p>
            <w:pPr>
              <w:rPr>
                <w:sz w:val="2"/>
                <w:szCs w:val="2"/>
              </w:rPr>
            </w:pPr>
          </w:p>
        </w:tc>
        <w:tc>
          <w:tcPr>
            <w:tcW w:w="1287" w:type="dxa"/>
            <w:tcBorders>
              <w:top w:val="single" w:sz="8" w:space="0" w:color="ADADAD"/>
              <w:left w:val="nil"/>
              <w:right w:val="nil"/>
            </w:tcBorders>
            <w:shd w:val="clear" w:color="auto" w:fill="DFDFDF"/>
          </w:tcPr>
          <w:p>
            <w:pPr>
              <w:pStyle w:val="TableParagraph"/>
              <w:spacing w:line="240" w:lineRule="auto" w:before="109"/>
              <w:ind w:left="62"/>
              <w:jc w:val="left"/>
              <w:rPr>
                <w:rFonts w:ascii="Arial"/>
                <w:sz w:val="18"/>
              </w:rPr>
            </w:pPr>
            <w:r>
              <w:rPr>
                <w:rFonts w:ascii="Arial"/>
                <w:color w:val="25495F"/>
                <w:sz w:val="18"/>
              </w:rPr>
              <w:t>Total</w:t>
            </w:r>
          </w:p>
        </w:tc>
        <w:tc>
          <w:tcPr>
            <w:tcW w:w="1465" w:type="dxa"/>
            <w:tcBorders>
              <w:top w:val="single" w:sz="8" w:space="0" w:color="ADADAD"/>
              <w:left w:val="nil"/>
              <w:right w:val="single" w:sz="8" w:space="0" w:color="DFDFDF"/>
            </w:tcBorders>
          </w:tcPr>
          <w:p>
            <w:pPr>
              <w:pStyle w:val="TableParagraph"/>
              <w:spacing w:line="240" w:lineRule="auto" w:before="109"/>
              <w:ind w:left="143"/>
              <w:jc w:val="left"/>
              <w:rPr>
                <w:rFonts w:ascii="Arial"/>
                <w:sz w:val="18"/>
              </w:rPr>
            </w:pPr>
            <w:r>
              <w:rPr>
                <w:rFonts w:ascii="Arial"/>
                <w:color w:val="000104"/>
                <w:sz w:val="18"/>
              </w:rPr>
              <w:t>2366494877.00</w:t>
            </w:r>
          </w:p>
          <w:p>
            <w:pPr>
              <w:pStyle w:val="TableParagraph"/>
              <w:spacing w:line="192" w:lineRule="exact" w:before="114"/>
              <w:ind w:right="55"/>
              <w:rPr>
                <w:rFonts w:ascii="Arial"/>
                <w:sz w:val="18"/>
              </w:rPr>
            </w:pPr>
            <w:r>
              <w:rPr>
                <w:rFonts w:ascii="Arial"/>
                <w:color w:val="000104"/>
                <w:w w:val="101"/>
                <w:sz w:val="18"/>
              </w:rPr>
              <w:t>0</w:t>
            </w:r>
          </w:p>
        </w:tc>
        <w:tc>
          <w:tcPr>
            <w:tcW w:w="1028" w:type="dxa"/>
            <w:tcBorders>
              <w:top w:val="single" w:sz="8" w:space="0" w:color="ADADAD"/>
              <w:left w:val="single" w:sz="8" w:space="0" w:color="DFDFDF"/>
              <w:right w:val="single" w:sz="8" w:space="0" w:color="DFDFDF"/>
            </w:tcBorders>
          </w:tcPr>
          <w:p>
            <w:pPr>
              <w:pStyle w:val="TableParagraph"/>
              <w:spacing w:line="240" w:lineRule="auto" w:before="109"/>
              <w:ind w:right="56"/>
              <w:rPr>
                <w:rFonts w:ascii="Arial"/>
                <w:sz w:val="18"/>
              </w:rPr>
            </w:pPr>
            <w:r>
              <w:rPr>
                <w:rFonts w:ascii="Arial"/>
                <w:color w:val="000104"/>
                <w:sz w:val="18"/>
              </w:rPr>
              <w:t>34</w:t>
            </w:r>
          </w:p>
        </w:tc>
        <w:tc>
          <w:tcPr>
            <w:tcW w:w="1470" w:type="dxa"/>
            <w:tcBorders>
              <w:top w:val="single" w:sz="8" w:space="0" w:color="ADADAD"/>
              <w:left w:val="single" w:sz="8" w:space="0" w:color="DFDFDF"/>
              <w:right w:val="single" w:sz="8" w:space="0" w:color="DFDFDF"/>
            </w:tcBorders>
          </w:tcPr>
          <w:p>
            <w:pPr>
              <w:pStyle w:val="TableParagraph"/>
              <w:spacing w:line="240" w:lineRule="auto"/>
              <w:jc w:val="left"/>
              <w:rPr>
                <w:sz w:val="18"/>
              </w:rPr>
            </w:pPr>
          </w:p>
        </w:tc>
        <w:tc>
          <w:tcPr>
            <w:tcW w:w="1029" w:type="dxa"/>
            <w:tcBorders>
              <w:top w:val="single" w:sz="8" w:space="0" w:color="ADADAD"/>
              <w:left w:val="single" w:sz="8" w:space="0" w:color="DFDFDF"/>
              <w:right w:val="single" w:sz="8" w:space="0" w:color="DFDFDF"/>
            </w:tcBorders>
          </w:tcPr>
          <w:p>
            <w:pPr>
              <w:pStyle w:val="TableParagraph"/>
              <w:spacing w:line="240" w:lineRule="auto"/>
              <w:jc w:val="left"/>
              <w:rPr>
                <w:sz w:val="18"/>
              </w:rPr>
            </w:pPr>
          </w:p>
        </w:tc>
        <w:tc>
          <w:tcPr>
            <w:tcW w:w="1024" w:type="dxa"/>
            <w:tcBorders>
              <w:top w:val="single" w:sz="8" w:space="0" w:color="ADADAD"/>
              <w:left w:val="single" w:sz="8" w:space="0" w:color="DFDFDF"/>
              <w:right w:val="nil"/>
            </w:tcBorders>
          </w:tcPr>
          <w:p>
            <w:pPr>
              <w:pStyle w:val="TableParagraph"/>
              <w:spacing w:line="240" w:lineRule="auto"/>
              <w:jc w:val="left"/>
              <w:rPr>
                <w:sz w:val="18"/>
              </w:rPr>
            </w:pPr>
          </w:p>
        </w:tc>
      </w:tr>
    </w:tbl>
    <w:p>
      <w:pPr>
        <w:pStyle w:val="ListParagraph"/>
        <w:numPr>
          <w:ilvl w:val="0"/>
          <w:numId w:val="32"/>
        </w:numPr>
        <w:tabs>
          <w:tab w:pos="388" w:val="left" w:leader="none"/>
        </w:tabs>
        <w:spacing w:line="240" w:lineRule="auto" w:before="109" w:after="0"/>
        <w:ind w:left="388" w:right="0" w:hanging="206"/>
        <w:jc w:val="left"/>
        <w:rPr>
          <w:rFonts w:ascii="Arial"/>
          <w:sz w:val="18"/>
        </w:rPr>
      </w:pPr>
      <w:r>
        <w:rPr>
          <w:rFonts w:ascii="Arial"/>
          <w:color w:val="000104"/>
          <w:spacing w:val="-3"/>
          <w:sz w:val="18"/>
        </w:rPr>
        <w:t>Dependent </w:t>
      </w:r>
      <w:r>
        <w:rPr>
          <w:rFonts w:ascii="Arial"/>
          <w:color w:val="000104"/>
          <w:sz w:val="18"/>
        </w:rPr>
        <w:t>Variable: Harga</w:t>
      </w:r>
      <w:r>
        <w:rPr>
          <w:rFonts w:ascii="Arial"/>
          <w:color w:val="000104"/>
          <w:spacing w:val="12"/>
          <w:sz w:val="18"/>
        </w:rPr>
        <w:t> </w:t>
      </w:r>
      <w:r>
        <w:rPr>
          <w:rFonts w:ascii="Arial"/>
          <w:color w:val="000104"/>
          <w:spacing w:val="-3"/>
          <w:sz w:val="18"/>
        </w:rPr>
        <w:t>Saham</w:t>
      </w:r>
    </w:p>
    <w:p>
      <w:pPr>
        <w:pStyle w:val="ListParagraph"/>
        <w:numPr>
          <w:ilvl w:val="0"/>
          <w:numId w:val="32"/>
        </w:numPr>
        <w:tabs>
          <w:tab w:pos="388" w:val="left" w:leader="none"/>
        </w:tabs>
        <w:spacing w:line="240" w:lineRule="auto" w:before="110" w:after="0"/>
        <w:ind w:left="388" w:right="0" w:hanging="206"/>
        <w:jc w:val="left"/>
        <w:rPr>
          <w:rFonts w:ascii="Arial"/>
          <w:sz w:val="18"/>
        </w:rPr>
      </w:pPr>
      <w:r>
        <w:rPr>
          <w:rFonts w:ascii="Arial"/>
          <w:color w:val="000104"/>
          <w:sz w:val="18"/>
        </w:rPr>
        <w:t>Predictors: (Constant), Return On </w:t>
      </w:r>
      <w:r>
        <w:rPr>
          <w:rFonts w:ascii="Arial"/>
          <w:color w:val="000104"/>
          <w:spacing w:val="-3"/>
          <w:sz w:val="18"/>
        </w:rPr>
        <w:t>Equity, </w:t>
      </w:r>
      <w:r>
        <w:rPr>
          <w:rFonts w:ascii="Arial"/>
          <w:color w:val="000104"/>
          <w:sz w:val="18"/>
        </w:rPr>
        <w:t>Return On</w:t>
      </w:r>
      <w:r>
        <w:rPr>
          <w:rFonts w:ascii="Arial"/>
          <w:color w:val="000104"/>
          <w:spacing w:val="-7"/>
          <w:sz w:val="18"/>
        </w:rPr>
        <w:t> </w:t>
      </w:r>
      <w:r>
        <w:rPr>
          <w:rFonts w:ascii="Arial"/>
          <w:color w:val="000104"/>
          <w:spacing w:val="-3"/>
          <w:sz w:val="18"/>
        </w:rPr>
        <w:t>Asset</w:t>
      </w:r>
    </w:p>
    <w:p>
      <w:pPr>
        <w:pStyle w:val="BodyText"/>
        <w:rPr>
          <w:rFonts w:ascii="Arial"/>
          <w:sz w:val="20"/>
        </w:rPr>
      </w:pPr>
    </w:p>
    <w:p>
      <w:pPr>
        <w:pStyle w:val="BodyText"/>
        <w:spacing w:before="1"/>
        <w:rPr>
          <w:rFonts w:ascii="Arial"/>
          <w:sz w:val="16"/>
        </w:rPr>
      </w:pPr>
    </w:p>
    <w:p>
      <w:pPr>
        <w:spacing w:before="0"/>
        <w:ind w:left="119" w:right="0" w:firstLine="0"/>
        <w:jc w:val="left"/>
        <w:rPr>
          <w:rFonts w:ascii="Calibri"/>
          <w:sz w:val="22"/>
        </w:rPr>
      </w:pPr>
      <w:r>
        <w:rPr>
          <w:rFonts w:ascii="Calibri"/>
          <w:sz w:val="22"/>
        </w:rPr>
        <w:t>Uji t</w:t>
      </w:r>
    </w:p>
    <w:p>
      <w:pPr>
        <w:pStyle w:val="BodyText"/>
        <w:rPr>
          <w:rFonts w:ascii="Calibri"/>
          <w:sz w:val="22"/>
        </w:rPr>
      </w:pPr>
    </w:p>
    <w:p>
      <w:pPr>
        <w:pStyle w:val="BodyText"/>
        <w:spacing w:before="7"/>
        <w:rPr>
          <w:rFonts w:ascii="Calibri"/>
          <w:sz w:val="19"/>
        </w:rPr>
      </w:pPr>
    </w:p>
    <w:p>
      <w:pPr>
        <w:spacing w:before="0" w:after="7"/>
        <w:ind w:left="3759" w:right="0" w:firstLine="0"/>
        <w:jc w:val="left"/>
        <w:rPr>
          <w:rFonts w:ascii="Arial"/>
          <w:b/>
          <w:sz w:val="22"/>
        </w:rPr>
      </w:pPr>
      <w:r>
        <w:rPr>
          <w:rFonts w:ascii="Arial"/>
          <w:b/>
          <w:color w:val="000104"/>
          <w:sz w:val="22"/>
        </w:rPr>
        <w:t>Coefficients</w:t>
      </w:r>
      <w:r>
        <w:rPr>
          <w:rFonts w:ascii="Arial"/>
          <w:b/>
          <w:color w:val="000104"/>
          <w:sz w:val="22"/>
          <w:vertAlign w:val="superscript"/>
        </w:rPr>
        <w:t>a</w:t>
      </w:r>
    </w:p>
    <w:tbl>
      <w:tblPr>
        <w:tblW w:w="0" w:type="auto"/>
        <w:jc w:val="left"/>
        <w:tblInd w:w="12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35"/>
        <w:gridCol w:w="1700"/>
        <w:gridCol w:w="1330"/>
        <w:gridCol w:w="1330"/>
        <w:gridCol w:w="1470"/>
        <w:gridCol w:w="1027"/>
        <w:gridCol w:w="1023"/>
      </w:tblGrid>
      <w:tr>
        <w:trPr>
          <w:trHeight w:val="633" w:hRule="atLeast"/>
        </w:trPr>
        <w:tc>
          <w:tcPr>
            <w:tcW w:w="5095" w:type="dxa"/>
            <w:gridSpan w:val="4"/>
            <w:tcBorders>
              <w:top w:val="nil"/>
              <w:left w:val="nil"/>
              <w:bottom w:val="nil"/>
            </w:tcBorders>
          </w:tcPr>
          <w:p>
            <w:pPr>
              <w:pStyle w:val="TableParagraph"/>
              <w:spacing w:line="240" w:lineRule="auto"/>
              <w:jc w:val="left"/>
              <w:rPr>
                <w:rFonts w:ascii="Arial"/>
                <w:b/>
                <w:sz w:val="20"/>
              </w:rPr>
            </w:pPr>
          </w:p>
          <w:p>
            <w:pPr>
              <w:pStyle w:val="TableParagraph"/>
              <w:spacing w:line="240" w:lineRule="auto" w:before="6"/>
              <w:jc w:val="left"/>
              <w:rPr>
                <w:rFonts w:ascii="Arial"/>
                <w:b/>
                <w:sz w:val="17"/>
              </w:rPr>
            </w:pPr>
          </w:p>
          <w:p>
            <w:pPr>
              <w:pStyle w:val="TableParagraph"/>
              <w:spacing w:line="182" w:lineRule="exact"/>
              <w:ind w:left="2636"/>
              <w:jc w:val="left"/>
              <w:rPr>
                <w:rFonts w:ascii="Arial"/>
                <w:sz w:val="18"/>
              </w:rPr>
            </w:pPr>
            <w:r>
              <w:rPr>
                <w:rFonts w:ascii="Arial"/>
                <w:color w:val="25495F"/>
                <w:sz w:val="18"/>
              </w:rPr>
              <w:t>Unstandardized Coefficients</w:t>
            </w:r>
          </w:p>
        </w:tc>
        <w:tc>
          <w:tcPr>
            <w:tcW w:w="1470" w:type="dxa"/>
            <w:tcBorders>
              <w:top w:val="nil"/>
              <w:bottom w:val="nil"/>
            </w:tcBorders>
          </w:tcPr>
          <w:p>
            <w:pPr>
              <w:pStyle w:val="TableParagraph"/>
              <w:spacing w:line="322" w:lineRule="exact" w:before="21"/>
              <w:ind w:left="254" w:right="178" w:hanging="63"/>
              <w:jc w:val="left"/>
              <w:rPr>
                <w:rFonts w:ascii="Arial"/>
                <w:sz w:val="18"/>
              </w:rPr>
            </w:pPr>
            <w:r>
              <w:rPr>
                <w:rFonts w:ascii="Arial"/>
                <w:color w:val="25495F"/>
                <w:sz w:val="18"/>
              </w:rPr>
              <w:t>Standardized Coefficients</w:t>
            </w:r>
          </w:p>
        </w:tc>
        <w:tc>
          <w:tcPr>
            <w:tcW w:w="1027" w:type="dxa"/>
            <w:vMerge w:val="restart"/>
            <w:tcBorders>
              <w:top w:val="nil"/>
              <w:bottom w:val="single" w:sz="8" w:space="0" w:color="152935"/>
            </w:tcBorders>
          </w:tcPr>
          <w:p>
            <w:pPr>
              <w:pStyle w:val="TableParagraph"/>
              <w:spacing w:line="240" w:lineRule="auto"/>
              <w:jc w:val="left"/>
              <w:rPr>
                <w:rFonts w:ascii="Arial"/>
                <w:b/>
                <w:sz w:val="20"/>
              </w:rPr>
            </w:pPr>
          </w:p>
          <w:p>
            <w:pPr>
              <w:pStyle w:val="TableParagraph"/>
              <w:spacing w:line="240" w:lineRule="auto"/>
              <w:jc w:val="left"/>
              <w:rPr>
                <w:rFonts w:ascii="Arial"/>
                <w:b/>
                <w:sz w:val="20"/>
              </w:rPr>
            </w:pPr>
          </w:p>
          <w:p>
            <w:pPr>
              <w:pStyle w:val="TableParagraph"/>
              <w:spacing w:line="240" w:lineRule="auto" w:before="1"/>
              <w:jc w:val="left"/>
              <w:rPr>
                <w:rFonts w:ascii="Arial"/>
                <w:b/>
                <w:sz w:val="25"/>
              </w:rPr>
            </w:pPr>
          </w:p>
          <w:p>
            <w:pPr>
              <w:pStyle w:val="TableParagraph"/>
              <w:spacing w:line="192" w:lineRule="exact"/>
              <w:ind w:left="11"/>
              <w:jc w:val="center"/>
              <w:rPr>
                <w:rFonts w:ascii="Arial"/>
                <w:sz w:val="18"/>
              </w:rPr>
            </w:pPr>
            <w:r>
              <w:rPr>
                <w:rFonts w:ascii="Arial"/>
                <w:color w:val="25495F"/>
                <w:w w:val="101"/>
                <w:sz w:val="18"/>
              </w:rPr>
              <w:t>t</w:t>
            </w:r>
          </w:p>
        </w:tc>
        <w:tc>
          <w:tcPr>
            <w:tcW w:w="1023" w:type="dxa"/>
            <w:vMerge w:val="restart"/>
            <w:tcBorders>
              <w:top w:val="nil"/>
              <w:bottom w:val="single" w:sz="8" w:space="0" w:color="152935"/>
              <w:right w:val="nil"/>
            </w:tcBorders>
          </w:tcPr>
          <w:p>
            <w:pPr>
              <w:pStyle w:val="TableParagraph"/>
              <w:spacing w:line="240" w:lineRule="auto"/>
              <w:jc w:val="left"/>
              <w:rPr>
                <w:rFonts w:ascii="Arial"/>
                <w:b/>
                <w:sz w:val="20"/>
              </w:rPr>
            </w:pPr>
          </w:p>
          <w:p>
            <w:pPr>
              <w:pStyle w:val="TableParagraph"/>
              <w:spacing w:line="240" w:lineRule="auto"/>
              <w:jc w:val="left"/>
              <w:rPr>
                <w:rFonts w:ascii="Arial"/>
                <w:b/>
                <w:sz w:val="20"/>
              </w:rPr>
            </w:pPr>
          </w:p>
          <w:p>
            <w:pPr>
              <w:pStyle w:val="TableParagraph"/>
              <w:spacing w:line="240" w:lineRule="auto" w:before="1"/>
              <w:jc w:val="left"/>
              <w:rPr>
                <w:rFonts w:ascii="Arial"/>
                <w:b/>
                <w:sz w:val="25"/>
              </w:rPr>
            </w:pPr>
          </w:p>
          <w:p>
            <w:pPr>
              <w:pStyle w:val="TableParagraph"/>
              <w:spacing w:line="192" w:lineRule="exact"/>
              <w:ind w:left="331" w:right="330"/>
              <w:jc w:val="center"/>
              <w:rPr>
                <w:rFonts w:ascii="Arial"/>
                <w:sz w:val="18"/>
              </w:rPr>
            </w:pPr>
            <w:r>
              <w:rPr>
                <w:rFonts w:ascii="Arial"/>
                <w:color w:val="25495F"/>
                <w:sz w:val="18"/>
              </w:rPr>
              <w:t>Sig.</w:t>
            </w:r>
          </w:p>
        </w:tc>
      </w:tr>
      <w:tr>
        <w:trPr>
          <w:trHeight w:val="275" w:hRule="atLeast"/>
        </w:trPr>
        <w:tc>
          <w:tcPr>
            <w:tcW w:w="735" w:type="dxa"/>
            <w:tcBorders>
              <w:top w:val="nil"/>
              <w:left w:val="nil"/>
              <w:bottom w:val="single" w:sz="8" w:space="0" w:color="152935"/>
              <w:right w:val="nil"/>
            </w:tcBorders>
          </w:tcPr>
          <w:p>
            <w:pPr>
              <w:pStyle w:val="TableParagraph"/>
              <w:spacing w:line="192" w:lineRule="exact" w:before="63"/>
              <w:ind w:left="62"/>
              <w:jc w:val="left"/>
              <w:rPr>
                <w:rFonts w:ascii="Arial"/>
                <w:sz w:val="18"/>
              </w:rPr>
            </w:pPr>
            <w:r>
              <w:rPr>
                <w:rFonts w:ascii="Arial"/>
                <w:color w:val="25495F"/>
                <w:sz w:val="18"/>
              </w:rPr>
              <w:t>Model</w:t>
            </w:r>
          </w:p>
        </w:tc>
        <w:tc>
          <w:tcPr>
            <w:tcW w:w="1700" w:type="dxa"/>
            <w:tcBorders>
              <w:top w:val="nil"/>
              <w:left w:val="nil"/>
              <w:bottom w:val="single" w:sz="8" w:space="0" w:color="152935"/>
              <w:right w:val="nil"/>
            </w:tcBorders>
          </w:tcPr>
          <w:p>
            <w:pPr>
              <w:pStyle w:val="TableParagraph"/>
              <w:spacing w:line="240" w:lineRule="auto"/>
              <w:jc w:val="left"/>
              <w:rPr>
                <w:sz w:val="18"/>
              </w:rPr>
            </w:pPr>
          </w:p>
        </w:tc>
        <w:tc>
          <w:tcPr>
            <w:tcW w:w="1330" w:type="dxa"/>
            <w:tcBorders>
              <w:top w:val="nil"/>
              <w:left w:val="nil"/>
              <w:bottom w:val="single" w:sz="8" w:space="0" w:color="152935"/>
            </w:tcBorders>
          </w:tcPr>
          <w:p>
            <w:pPr>
              <w:pStyle w:val="TableParagraph"/>
              <w:spacing w:line="192" w:lineRule="exact" w:before="63"/>
              <w:ind w:left="1"/>
              <w:jc w:val="center"/>
              <w:rPr>
                <w:rFonts w:ascii="Arial"/>
                <w:sz w:val="18"/>
              </w:rPr>
            </w:pPr>
            <w:r>
              <w:rPr>
                <w:rFonts w:ascii="Arial"/>
                <w:color w:val="25495F"/>
                <w:w w:val="101"/>
                <w:sz w:val="18"/>
              </w:rPr>
              <w:t>B</w:t>
            </w:r>
          </w:p>
        </w:tc>
        <w:tc>
          <w:tcPr>
            <w:tcW w:w="1330" w:type="dxa"/>
            <w:tcBorders>
              <w:top w:val="nil"/>
              <w:bottom w:val="single" w:sz="8" w:space="0" w:color="152935"/>
            </w:tcBorders>
          </w:tcPr>
          <w:p>
            <w:pPr>
              <w:pStyle w:val="TableParagraph"/>
              <w:spacing w:line="192" w:lineRule="exact" w:before="63"/>
              <w:ind w:left="273"/>
              <w:jc w:val="left"/>
              <w:rPr>
                <w:rFonts w:ascii="Arial"/>
                <w:sz w:val="18"/>
              </w:rPr>
            </w:pPr>
            <w:r>
              <w:rPr>
                <w:rFonts w:ascii="Arial"/>
                <w:color w:val="25495F"/>
                <w:sz w:val="18"/>
              </w:rPr>
              <w:t>Std. Error</w:t>
            </w:r>
          </w:p>
        </w:tc>
        <w:tc>
          <w:tcPr>
            <w:tcW w:w="1470" w:type="dxa"/>
            <w:tcBorders>
              <w:top w:val="nil"/>
              <w:bottom w:val="single" w:sz="8" w:space="0" w:color="152935"/>
            </w:tcBorders>
          </w:tcPr>
          <w:p>
            <w:pPr>
              <w:pStyle w:val="TableParagraph"/>
              <w:spacing w:line="192" w:lineRule="exact" w:before="63"/>
              <w:ind w:left="39" w:right="42"/>
              <w:jc w:val="center"/>
              <w:rPr>
                <w:rFonts w:ascii="Arial"/>
                <w:sz w:val="18"/>
              </w:rPr>
            </w:pPr>
            <w:r>
              <w:rPr>
                <w:rFonts w:ascii="Arial"/>
                <w:color w:val="25495F"/>
                <w:sz w:val="18"/>
              </w:rPr>
              <w:t>Beta</w:t>
            </w:r>
          </w:p>
        </w:tc>
        <w:tc>
          <w:tcPr>
            <w:tcW w:w="1027" w:type="dxa"/>
            <w:vMerge/>
            <w:tcBorders>
              <w:top w:val="nil"/>
              <w:bottom w:val="single" w:sz="8" w:space="0" w:color="152935"/>
            </w:tcBorders>
          </w:tcPr>
          <w:p>
            <w:pPr>
              <w:rPr>
                <w:sz w:val="2"/>
                <w:szCs w:val="2"/>
              </w:rPr>
            </w:pPr>
          </w:p>
        </w:tc>
        <w:tc>
          <w:tcPr>
            <w:tcW w:w="1023" w:type="dxa"/>
            <w:vMerge/>
            <w:tcBorders>
              <w:top w:val="nil"/>
              <w:bottom w:val="single" w:sz="8" w:space="0" w:color="152935"/>
              <w:right w:val="nil"/>
            </w:tcBorders>
          </w:tcPr>
          <w:p>
            <w:pPr>
              <w:rPr>
                <w:sz w:val="2"/>
                <w:szCs w:val="2"/>
              </w:rPr>
            </w:pPr>
          </w:p>
        </w:tc>
      </w:tr>
      <w:tr>
        <w:trPr>
          <w:trHeight w:val="320" w:hRule="atLeast"/>
        </w:trPr>
        <w:tc>
          <w:tcPr>
            <w:tcW w:w="735" w:type="dxa"/>
            <w:vMerge w:val="restart"/>
            <w:tcBorders>
              <w:top w:val="single" w:sz="8" w:space="0" w:color="152935"/>
              <w:left w:val="nil"/>
              <w:bottom w:val="single" w:sz="8" w:space="0" w:color="152935"/>
              <w:right w:val="nil"/>
            </w:tcBorders>
            <w:shd w:val="clear" w:color="auto" w:fill="DFDFDF"/>
          </w:tcPr>
          <w:p>
            <w:pPr>
              <w:pStyle w:val="TableParagraph"/>
              <w:spacing w:line="240" w:lineRule="auto" w:before="109"/>
              <w:ind w:left="62"/>
              <w:jc w:val="left"/>
              <w:rPr>
                <w:rFonts w:ascii="Arial"/>
                <w:sz w:val="18"/>
              </w:rPr>
            </w:pPr>
            <w:r>
              <w:rPr>
                <w:rFonts w:ascii="Arial"/>
                <w:color w:val="25495F"/>
                <w:w w:val="101"/>
                <w:sz w:val="18"/>
              </w:rPr>
              <w:t>1</w:t>
            </w:r>
          </w:p>
        </w:tc>
        <w:tc>
          <w:tcPr>
            <w:tcW w:w="1700" w:type="dxa"/>
            <w:tcBorders>
              <w:top w:val="single" w:sz="8" w:space="0" w:color="152935"/>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(Constant)</w:t>
            </w:r>
          </w:p>
        </w:tc>
        <w:tc>
          <w:tcPr>
            <w:tcW w:w="1330" w:type="dxa"/>
            <w:tcBorders>
              <w:top w:val="single" w:sz="8" w:space="0" w:color="152935"/>
              <w:left w:val="nil"/>
              <w:bottom w:val="single" w:sz="8" w:space="0" w:color="ADADAD"/>
            </w:tcBorders>
          </w:tcPr>
          <w:p>
            <w:pPr>
              <w:pStyle w:val="TableParagraph"/>
              <w:spacing w:line="192" w:lineRule="exact" w:before="109"/>
              <w:ind w:right="50"/>
              <w:rPr>
                <w:rFonts w:ascii="Arial"/>
                <w:sz w:val="18"/>
              </w:rPr>
            </w:pPr>
            <w:r>
              <w:rPr>
                <w:rFonts w:ascii="Arial"/>
                <w:color w:val="000104"/>
                <w:sz w:val="18"/>
              </w:rPr>
              <w:t>2634.939</w:t>
            </w:r>
          </w:p>
        </w:tc>
        <w:tc>
          <w:tcPr>
            <w:tcW w:w="1330" w:type="dxa"/>
            <w:tcBorders>
              <w:top w:val="single" w:sz="8" w:space="0" w:color="152935"/>
              <w:bottom w:val="single" w:sz="8" w:space="0" w:color="ADADAD"/>
            </w:tcBorders>
          </w:tcPr>
          <w:p>
            <w:pPr>
              <w:pStyle w:val="TableParagraph"/>
              <w:spacing w:line="192" w:lineRule="exact" w:before="109"/>
              <w:ind w:right="50"/>
              <w:rPr>
                <w:rFonts w:ascii="Arial"/>
                <w:sz w:val="18"/>
              </w:rPr>
            </w:pPr>
            <w:r>
              <w:rPr>
                <w:rFonts w:ascii="Arial"/>
                <w:color w:val="000104"/>
                <w:sz w:val="18"/>
              </w:rPr>
              <w:t>1877.088</w:t>
            </w:r>
          </w:p>
        </w:tc>
        <w:tc>
          <w:tcPr>
            <w:tcW w:w="1470" w:type="dxa"/>
            <w:tcBorders>
              <w:top w:val="single" w:sz="8" w:space="0" w:color="152935"/>
              <w:bottom w:val="single" w:sz="8" w:space="0" w:color="ADADAD"/>
            </w:tcBorders>
          </w:tcPr>
          <w:p>
            <w:pPr>
              <w:pStyle w:val="TableParagraph"/>
              <w:spacing w:line="240" w:lineRule="auto"/>
              <w:jc w:val="left"/>
              <w:rPr>
                <w:sz w:val="18"/>
              </w:rPr>
            </w:pPr>
          </w:p>
        </w:tc>
        <w:tc>
          <w:tcPr>
            <w:tcW w:w="1027" w:type="dxa"/>
            <w:tcBorders>
              <w:top w:val="single" w:sz="8" w:space="0" w:color="152935"/>
              <w:bottom w:val="single" w:sz="8" w:space="0" w:color="ADADAD"/>
            </w:tcBorders>
          </w:tcPr>
          <w:p>
            <w:pPr>
              <w:pStyle w:val="TableParagraph"/>
              <w:spacing w:line="192" w:lineRule="exact" w:before="109"/>
              <w:ind w:right="50"/>
              <w:rPr>
                <w:rFonts w:ascii="Arial"/>
                <w:sz w:val="18"/>
              </w:rPr>
            </w:pPr>
            <w:r>
              <w:rPr>
                <w:rFonts w:ascii="Arial"/>
                <w:color w:val="000104"/>
                <w:sz w:val="18"/>
              </w:rPr>
              <w:t>1.404</w:t>
            </w:r>
          </w:p>
        </w:tc>
        <w:tc>
          <w:tcPr>
            <w:tcW w:w="1023" w:type="dxa"/>
            <w:tcBorders>
              <w:top w:val="single" w:sz="8" w:space="0" w:color="152935"/>
              <w:bottom w:val="single" w:sz="8" w:space="0" w:color="ADADAD"/>
              <w:right w:val="nil"/>
            </w:tcBorders>
          </w:tcPr>
          <w:p>
            <w:pPr>
              <w:pStyle w:val="TableParagraph"/>
              <w:spacing w:line="192" w:lineRule="exact" w:before="109"/>
              <w:ind w:right="50"/>
              <w:rPr>
                <w:rFonts w:ascii="Arial"/>
                <w:sz w:val="18"/>
              </w:rPr>
            </w:pPr>
            <w:r>
              <w:rPr>
                <w:rFonts w:ascii="Arial"/>
                <w:color w:val="000104"/>
                <w:sz w:val="18"/>
              </w:rPr>
              <w:t>.170</w:t>
            </w:r>
          </w:p>
        </w:tc>
      </w:tr>
      <w:tr>
        <w:trPr>
          <w:trHeight w:val="320" w:hRule="atLeast"/>
        </w:trPr>
        <w:tc>
          <w:tcPr>
            <w:tcW w:w="735" w:type="dxa"/>
            <w:vMerge/>
            <w:tcBorders>
              <w:top w:val="nil"/>
              <w:left w:val="nil"/>
              <w:bottom w:val="single" w:sz="8" w:space="0" w:color="152935"/>
              <w:right w:val="nil"/>
            </w:tcBorders>
            <w:shd w:val="clear" w:color="auto" w:fill="DFDFDF"/>
          </w:tcPr>
          <w:p>
            <w:pPr>
              <w:rPr>
                <w:sz w:val="2"/>
                <w:szCs w:val="2"/>
              </w:rPr>
            </w:pPr>
          </w:p>
        </w:tc>
        <w:tc>
          <w:tcPr>
            <w:tcW w:w="1700" w:type="dxa"/>
            <w:tcBorders>
              <w:top w:val="single" w:sz="8" w:space="0" w:color="ADADAD"/>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Return On Asset</w:t>
            </w:r>
          </w:p>
        </w:tc>
        <w:tc>
          <w:tcPr>
            <w:tcW w:w="1330" w:type="dxa"/>
            <w:tcBorders>
              <w:top w:val="single" w:sz="8" w:space="0" w:color="ADADAD"/>
              <w:left w:val="nil"/>
              <w:bottom w:val="single" w:sz="8" w:space="0" w:color="ADADAD"/>
            </w:tcBorders>
          </w:tcPr>
          <w:p>
            <w:pPr>
              <w:pStyle w:val="TableParagraph"/>
              <w:spacing w:line="192" w:lineRule="exact" w:before="109"/>
              <w:ind w:right="50"/>
              <w:rPr>
                <w:rFonts w:ascii="Arial"/>
                <w:sz w:val="18"/>
              </w:rPr>
            </w:pPr>
            <w:r>
              <w:rPr>
                <w:rFonts w:ascii="Arial"/>
                <w:color w:val="000104"/>
                <w:sz w:val="18"/>
              </w:rPr>
              <w:t>1312.285</w:t>
            </w:r>
          </w:p>
        </w:tc>
        <w:tc>
          <w:tcPr>
            <w:tcW w:w="1330" w:type="dxa"/>
            <w:tcBorders>
              <w:top w:val="single" w:sz="8" w:space="0" w:color="ADADAD"/>
              <w:bottom w:val="single" w:sz="8" w:space="0" w:color="ADADAD"/>
            </w:tcBorders>
          </w:tcPr>
          <w:p>
            <w:pPr>
              <w:pStyle w:val="TableParagraph"/>
              <w:spacing w:line="192" w:lineRule="exact" w:before="109"/>
              <w:ind w:right="51"/>
              <w:rPr>
                <w:rFonts w:ascii="Arial"/>
                <w:sz w:val="18"/>
              </w:rPr>
            </w:pPr>
            <w:r>
              <w:rPr>
                <w:rFonts w:ascii="Arial"/>
                <w:color w:val="000104"/>
                <w:sz w:val="18"/>
              </w:rPr>
              <w:t>435.675</w:t>
            </w:r>
          </w:p>
        </w:tc>
        <w:tc>
          <w:tcPr>
            <w:tcW w:w="1470" w:type="dxa"/>
            <w:tcBorders>
              <w:top w:val="single" w:sz="8" w:space="0" w:color="ADADAD"/>
              <w:bottom w:val="single" w:sz="8" w:space="0" w:color="ADADAD"/>
            </w:tcBorders>
          </w:tcPr>
          <w:p>
            <w:pPr>
              <w:pStyle w:val="TableParagraph"/>
              <w:spacing w:line="192" w:lineRule="exact" w:before="109"/>
              <w:ind w:right="55"/>
              <w:rPr>
                <w:rFonts w:ascii="Arial"/>
                <w:sz w:val="18"/>
              </w:rPr>
            </w:pPr>
            <w:r>
              <w:rPr>
                <w:rFonts w:ascii="Arial"/>
                <w:color w:val="000104"/>
                <w:sz w:val="18"/>
              </w:rPr>
              <w:t>1.120</w:t>
            </w:r>
          </w:p>
        </w:tc>
        <w:tc>
          <w:tcPr>
            <w:tcW w:w="1027" w:type="dxa"/>
            <w:tcBorders>
              <w:top w:val="single" w:sz="8" w:space="0" w:color="ADADAD"/>
              <w:bottom w:val="single" w:sz="8" w:space="0" w:color="ADADAD"/>
            </w:tcBorders>
          </w:tcPr>
          <w:p>
            <w:pPr>
              <w:pStyle w:val="TableParagraph"/>
              <w:spacing w:line="192" w:lineRule="exact" w:before="109"/>
              <w:ind w:right="50"/>
              <w:rPr>
                <w:rFonts w:ascii="Arial"/>
                <w:sz w:val="18"/>
              </w:rPr>
            </w:pPr>
            <w:r>
              <w:rPr>
                <w:rFonts w:ascii="Arial"/>
                <w:color w:val="000104"/>
                <w:sz w:val="18"/>
              </w:rPr>
              <w:t>3.012</w:t>
            </w:r>
          </w:p>
        </w:tc>
        <w:tc>
          <w:tcPr>
            <w:tcW w:w="1023" w:type="dxa"/>
            <w:tcBorders>
              <w:top w:val="single" w:sz="8" w:space="0" w:color="ADADAD"/>
              <w:bottom w:val="single" w:sz="8" w:space="0" w:color="ADADAD"/>
              <w:right w:val="nil"/>
            </w:tcBorders>
          </w:tcPr>
          <w:p>
            <w:pPr>
              <w:pStyle w:val="TableParagraph"/>
              <w:spacing w:line="192" w:lineRule="exact" w:before="109"/>
              <w:ind w:right="50"/>
              <w:rPr>
                <w:rFonts w:ascii="Arial"/>
                <w:sz w:val="18"/>
              </w:rPr>
            </w:pPr>
            <w:r>
              <w:rPr>
                <w:rFonts w:ascii="Arial"/>
                <w:color w:val="000104"/>
                <w:sz w:val="18"/>
              </w:rPr>
              <w:t>.005</w:t>
            </w:r>
          </w:p>
        </w:tc>
      </w:tr>
      <w:tr>
        <w:trPr>
          <w:trHeight w:val="320" w:hRule="atLeast"/>
        </w:trPr>
        <w:tc>
          <w:tcPr>
            <w:tcW w:w="735" w:type="dxa"/>
            <w:vMerge/>
            <w:tcBorders>
              <w:top w:val="nil"/>
              <w:left w:val="nil"/>
              <w:bottom w:val="single" w:sz="8" w:space="0" w:color="152935"/>
              <w:right w:val="nil"/>
            </w:tcBorders>
            <w:shd w:val="clear" w:color="auto" w:fill="DFDFDF"/>
          </w:tcPr>
          <w:p>
            <w:pPr>
              <w:rPr>
                <w:sz w:val="2"/>
                <w:szCs w:val="2"/>
              </w:rPr>
            </w:pPr>
          </w:p>
        </w:tc>
        <w:tc>
          <w:tcPr>
            <w:tcW w:w="1700" w:type="dxa"/>
            <w:tcBorders>
              <w:top w:val="single" w:sz="8" w:space="0" w:color="ADADAD"/>
              <w:left w:val="nil"/>
              <w:bottom w:val="single" w:sz="8" w:space="0" w:color="152935"/>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Return On Equity</w:t>
            </w:r>
          </w:p>
        </w:tc>
        <w:tc>
          <w:tcPr>
            <w:tcW w:w="1330" w:type="dxa"/>
            <w:tcBorders>
              <w:top w:val="single" w:sz="8" w:space="0" w:color="ADADAD"/>
              <w:left w:val="nil"/>
              <w:bottom w:val="single" w:sz="8" w:space="0" w:color="152935"/>
            </w:tcBorders>
          </w:tcPr>
          <w:p>
            <w:pPr>
              <w:pStyle w:val="TableParagraph"/>
              <w:spacing w:line="192" w:lineRule="exact" w:before="109"/>
              <w:ind w:right="50"/>
              <w:rPr>
                <w:rFonts w:ascii="Arial"/>
                <w:sz w:val="18"/>
              </w:rPr>
            </w:pPr>
            <w:r>
              <w:rPr>
                <w:rFonts w:ascii="Arial"/>
                <w:color w:val="000104"/>
                <w:sz w:val="18"/>
              </w:rPr>
              <w:t>-538.362</w:t>
            </w:r>
          </w:p>
        </w:tc>
        <w:tc>
          <w:tcPr>
            <w:tcW w:w="1330" w:type="dxa"/>
            <w:tcBorders>
              <w:top w:val="single" w:sz="8" w:space="0" w:color="ADADAD"/>
              <w:bottom w:val="single" w:sz="8" w:space="0" w:color="152935"/>
            </w:tcBorders>
          </w:tcPr>
          <w:p>
            <w:pPr>
              <w:pStyle w:val="TableParagraph"/>
              <w:spacing w:line="192" w:lineRule="exact" w:before="109"/>
              <w:ind w:right="51"/>
              <w:rPr>
                <w:rFonts w:ascii="Arial"/>
                <w:sz w:val="18"/>
              </w:rPr>
            </w:pPr>
            <w:r>
              <w:rPr>
                <w:rFonts w:ascii="Arial"/>
                <w:color w:val="000104"/>
                <w:sz w:val="18"/>
              </w:rPr>
              <w:t>323.590</w:t>
            </w:r>
          </w:p>
        </w:tc>
        <w:tc>
          <w:tcPr>
            <w:tcW w:w="1470" w:type="dxa"/>
            <w:tcBorders>
              <w:top w:val="single" w:sz="8" w:space="0" w:color="ADADAD"/>
              <w:bottom w:val="single" w:sz="8" w:space="0" w:color="152935"/>
            </w:tcBorders>
          </w:tcPr>
          <w:p>
            <w:pPr>
              <w:pStyle w:val="TableParagraph"/>
              <w:spacing w:line="192" w:lineRule="exact" w:before="109"/>
              <w:ind w:right="55"/>
              <w:rPr>
                <w:rFonts w:ascii="Arial"/>
                <w:sz w:val="18"/>
              </w:rPr>
            </w:pPr>
            <w:r>
              <w:rPr>
                <w:rFonts w:ascii="Arial"/>
                <w:color w:val="000104"/>
                <w:sz w:val="18"/>
              </w:rPr>
              <w:t>-.619</w:t>
            </w:r>
          </w:p>
        </w:tc>
        <w:tc>
          <w:tcPr>
            <w:tcW w:w="1027" w:type="dxa"/>
            <w:tcBorders>
              <w:top w:val="single" w:sz="8" w:space="0" w:color="ADADAD"/>
              <w:bottom w:val="single" w:sz="8" w:space="0" w:color="152935"/>
            </w:tcBorders>
          </w:tcPr>
          <w:p>
            <w:pPr>
              <w:pStyle w:val="TableParagraph"/>
              <w:spacing w:line="192" w:lineRule="exact" w:before="109"/>
              <w:ind w:right="50"/>
              <w:rPr>
                <w:rFonts w:ascii="Arial"/>
                <w:sz w:val="18"/>
              </w:rPr>
            </w:pPr>
            <w:r>
              <w:rPr>
                <w:rFonts w:ascii="Arial"/>
                <w:color w:val="000104"/>
                <w:sz w:val="18"/>
              </w:rPr>
              <w:t>-1.664</w:t>
            </w:r>
          </w:p>
        </w:tc>
        <w:tc>
          <w:tcPr>
            <w:tcW w:w="1023" w:type="dxa"/>
            <w:tcBorders>
              <w:top w:val="single" w:sz="8" w:space="0" w:color="ADADAD"/>
              <w:bottom w:val="single" w:sz="8" w:space="0" w:color="152935"/>
              <w:right w:val="nil"/>
            </w:tcBorders>
          </w:tcPr>
          <w:p>
            <w:pPr>
              <w:pStyle w:val="TableParagraph"/>
              <w:spacing w:line="192" w:lineRule="exact" w:before="109"/>
              <w:ind w:right="50"/>
              <w:rPr>
                <w:rFonts w:ascii="Arial"/>
                <w:sz w:val="18"/>
              </w:rPr>
            </w:pPr>
            <w:r>
              <w:rPr>
                <w:rFonts w:ascii="Arial"/>
                <w:color w:val="000104"/>
                <w:sz w:val="18"/>
              </w:rPr>
              <w:t>.106</w:t>
            </w:r>
          </w:p>
        </w:tc>
      </w:tr>
    </w:tbl>
    <w:p>
      <w:pPr>
        <w:spacing w:before="110"/>
        <w:ind w:left="182" w:right="0" w:firstLine="0"/>
        <w:jc w:val="left"/>
        <w:rPr>
          <w:rFonts w:ascii="Arial"/>
          <w:sz w:val="18"/>
        </w:rPr>
      </w:pPr>
      <w:r>
        <w:rPr>
          <w:rFonts w:ascii="Arial"/>
          <w:color w:val="000104"/>
          <w:sz w:val="18"/>
        </w:rPr>
        <w:t>a. Dependent Variable: Harga Saham</w:t>
      </w:r>
    </w:p>
    <w:p>
      <w:pPr>
        <w:pStyle w:val="BodyText"/>
        <w:rPr>
          <w:rFonts w:ascii="Arial"/>
          <w:sz w:val="20"/>
        </w:rPr>
      </w:pPr>
    </w:p>
    <w:p>
      <w:pPr>
        <w:spacing w:before="180"/>
        <w:ind w:left="119" w:right="0" w:firstLine="0"/>
        <w:jc w:val="left"/>
        <w:rPr>
          <w:rFonts w:ascii="Calibri"/>
          <w:sz w:val="22"/>
        </w:rPr>
      </w:pPr>
      <w:r>
        <w:rPr>
          <w:rFonts w:ascii="Calibri"/>
          <w:sz w:val="22"/>
        </w:rPr>
        <w:t>Uji Autokorelasi</w:t>
      </w:r>
    </w:p>
    <w:p>
      <w:pPr>
        <w:pStyle w:val="BodyText"/>
        <w:rPr>
          <w:rFonts w:ascii="Calibri"/>
          <w:sz w:val="20"/>
        </w:rPr>
      </w:pPr>
    </w:p>
    <w:p>
      <w:pPr>
        <w:pStyle w:val="BodyText"/>
        <w:rPr>
          <w:rFonts w:ascii="Calibri"/>
          <w:sz w:val="22"/>
        </w:rPr>
      </w:pPr>
    </w:p>
    <w:p>
      <w:pPr>
        <w:spacing w:before="0" w:after="6"/>
        <w:ind w:left="2886" w:right="0" w:firstLine="0"/>
        <w:jc w:val="left"/>
        <w:rPr>
          <w:rFonts w:ascii="Arial"/>
          <w:b/>
          <w:sz w:val="22"/>
        </w:rPr>
      </w:pPr>
      <w:r>
        <w:rPr>
          <w:rFonts w:ascii="Arial"/>
          <w:b/>
          <w:color w:val="000104"/>
          <w:sz w:val="22"/>
        </w:rPr>
        <w:t>Model Summary</w:t>
      </w:r>
      <w:r>
        <w:rPr>
          <w:rFonts w:ascii="Arial"/>
          <w:b/>
          <w:color w:val="000104"/>
          <w:sz w:val="22"/>
          <w:vertAlign w:val="superscript"/>
        </w:rPr>
        <w:t>b</w:t>
      </w:r>
    </w:p>
    <w:tbl>
      <w:tblPr>
        <w:tblW w:w="0" w:type="auto"/>
        <w:jc w:val="left"/>
        <w:tblInd w:w="11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97"/>
        <w:gridCol w:w="1023"/>
        <w:gridCol w:w="1086"/>
        <w:gridCol w:w="1470"/>
        <w:gridCol w:w="1470"/>
        <w:gridCol w:w="1470"/>
      </w:tblGrid>
      <w:tr>
        <w:trPr>
          <w:trHeight w:val="637" w:hRule="atLeast"/>
        </w:trPr>
        <w:tc>
          <w:tcPr>
            <w:tcW w:w="797" w:type="dxa"/>
            <w:tcBorders>
              <w:top w:val="nil"/>
              <w:left w:val="nil"/>
              <w:right w:val="nil"/>
            </w:tcBorders>
          </w:tcPr>
          <w:p>
            <w:pPr>
              <w:pStyle w:val="TableParagraph"/>
              <w:spacing w:line="240" w:lineRule="auto"/>
              <w:jc w:val="left"/>
              <w:rPr>
                <w:rFonts w:ascii="Arial"/>
                <w:b/>
                <w:sz w:val="20"/>
              </w:rPr>
            </w:pPr>
          </w:p>
          <w:p>
            <w:pPr>
              <w:pStyle w:val="TableParagraph"/>
              <w:spacing w:line="240" w:lineRule="auto"/>
              <w:jc w:val="left"/>
              <w:rPr>
                <w:rFonts w:ascii="Arial"/>
                <w:b/>
                <w:sz w:val="17"/>
              </w:rPr>
            </w:pPr>
          </w:p>
          <w:p>
            <w:pPr>
              <w:pStyle w:val="TableParagraph"/>
              <w:spacing w:line="192" w:lineRule="exact" w:before="1"/>
              <w:ind w:left="71"/>
              <w:jc w:val="left"/>
              <w:rPr>
                <w:rFonts w:ascii="Arial"/>
                <w:sz w:val="18"/>
              </w:rPr>
            </w:pPr>
            <w:r>
              <w:rPr>
                <w:rFonts w:ascii="Arial"/>
                <w:color w:val="25495F"/>
                <w:sz w:val="18"/>
              </w:rPr>
              <w:t>Model</w:t>
            </w:r>
          </w:p>
        </w:tc>
        <w:tc>
          <w:tcPr>
            <w:tcW w:w="1023" w:type="dxa"/>
            <w:tcBorders>
              <w:top w:val="nil"/>
              <w:left w:val="nil"/>
              <w:right w:val="single" w:sz="8" w:space="0" w:color="DFDFDF"/>
            </w:tcBorders>
          </w:tcPr>
          <w:p>
            <w:pPr>
              <w:pStyle w:val="TableParagraph"/>
              <w:spacing w:line="240" w:lineRule="auto"/>
              <w:jc w:val="left"/>
              <w:rPr>
                <w:rFonts w:ascii="Arial"/>
                <w:b/>
                <w:sz w:val="20"/>
              </w:rPr>
            </w:pPr>
          </w:p>
          <w:p>
            <w:pPr>
              <w:pStyle w:val="TableParagraph"/>
              <w:spacing w:line="240" w:lineRule="auto"/>
              <w:jc w:val="left"/>
              <w:rPr>
                <w:rFonts w:ascii="Arial"/>
                <w:b/>
                <w:sz w:val="17"/>
              </w:rPr>
            </w:pPr>
          </w:p>
          <w:p>
            <w:pPr>
              <w:pStyle w:val="TableParagraph"/>
              <w:spacing w:line="192" w:lineRule="exact" w:before="1"/>
              <w:ind w:left="21"/>
              <w:jc w:val="center"/>
              <w:rPr>
                <w:rFonts w:ascii="Arial"/>
                <w:sz w:val="18"/>
              </w:rPr>
            </w:pPr>
            <w:r>
              <w:rPr>
                <w:rFonts w:ascii="Arial"/>
                <w:color w:val="25495F"/>
                <w:w w:val="101"/>
                <w:sz w:val="18"/>
              </w:rPr>
              <w:t>R</w:t>
            </w:r>
          </w:p>
        </w:tc>
        <w:tc>
          <w:tcPr>
            <w:tcW w:w="1086" w:type="dxa"/>
            <w:tcBorders>
              <w:top w:val="nil"/>
              <w:left w:val="single" w:sz="8" w:space="0" w:color="DFDFDF"/>
              <w:right w:val="single" w:sz="8" w:space="0" w:color="DFDFDF"/>
            </w:tcBorders>
          </w:tcPr>
          <w:p>
            <w:pPr>
              <w:pStyle w:val="TableParagraph"/>
              <w:spacing w:line="240" w:lineRule="auto"/>
              <w:jc w:val="left"/>
              <w:rPr>
                <w:rFonts w:ascii="Arial"/>
                <w:b/>
                <w:sz w:val="20"/>
              </w:rPr>
            </w:pPr>
          </w:p>
          <w:p>
            <w:pPr>
              <w:pStyle w:val="TableParagraph"/>
              <w:spacing w:line="240" w:lineRule="auto"/>
              <w:jc w:val="left"/>
              <w:rPr>
                <w:rFonts w:ascii="Arial"/>
                <w:b/>
                <w:sz w:val="17"/>
              </w:rPr>
            </w:pPr>
          </w:p>
          <w:p>
            <w:pPr>
              <w:pStyle w:val="TableParagraph"/>
              <w:spacing w:line="192" w:lineRule="exact" w:before="1"/>
              <w:ind w:left="162"/>
              <w:jc w:val="left"/>
              <w:rPr>
                <w:rFonts w:ascii="Arial"/>
                <w:sz w:val="18"/>
              </w:rPr>
            </w:pPr>
            <w:r>
              <w:rPr>
                <w:rFonts w:ascii="Arial"/>
                <w:color w:val="25495F"/>
                <w:sz w:val="18"/>
              </w:rPr>
              <w:t>R Square</w:t>
            </w:r>
          </w:p>
        </w:tc>
        <w:tc>
          <w:tcPr>
            <w:tcW w:w="1470" w:type="dxa"/>
            <w:tcBorders>
              <w:top w:val="nil"/>
              <w:left w:val="single" w:sz="8" w:space="0" w:color="DFDFDF"/>
              <w:right w:val="single" w:sz="8" w:space="0" w:color="DFDFDF"/>
            </w:tcBorders>
          </w:tcPr>
          <w:p>
            <w:pPr>
              <w:pStyle w:val="TableParagraph"/>
              <w:spacing w:line="316" w:lineRule="exact" w:before="25"/>
              <w:ind w:left="445" w:right="253" w:hanging="149"/>
              <w:jc w:val="left"/>
              <w:rPr>
                <w:rFonts w:ascii="Arial"/>
                <w:sz w:val="18"/>
              </w:rPr>
            </w:pPr>
            <w:r>
              <w:rPr>
                <w:rFonts w:ascii="Arial"/>
                <w:color w:val="25495F"/>
                <w:sz w:val="18"/>
              </w:rPr>
              <w:t>Adjusted R Square</w:t>
            </w:r>
          </w:p>
        </w:tc>
        <w:tc>
          <w:tcPr>
            <w:tcW w:w="1470" w:type="dxa"/>
            <w:tcBorders>
              <w:top w:val="nil"/>
              <w:left w:val="single" w:sz="8" w:space="0" w:color="DFDFDF"/>
              <w:right w:val="single" w:sz="8" w:space="0" w:color="DFDFDF"/>
            </w:tcBorders>
          </w:tcPr>
          <w:p>
            <w:pPr>
              <w:pStyle w:val="TableParagraph"/>
              <w:spacing w:line="316" w:lineRule="exact" w:before="25"/>
              <w:ind w:left="387" w:right="60" w:hanging="288"/>
              <w:jc w:val="left"/>
              <w:rPr>
                <w:rFonts w:ascii="Arial"/>
                <w:sz w:val="18"/>
              </w:rPr>
            </w:pPr>
            <w:r>
              <w:rPr>
                <w:rFonts w:ascii="Arial"/>
                <w:color w:val="25495F"/>
                <w:sz w:val="18"/>
              </w:rPr>
              <w:t>Std. Error of the Estimate</w:t>
            </w:r>
          </w:p>
        </w:tc>
        <w:tc>
          <w:tcPr>
            <w:tcW w:w="1470" w:type="dxa"/>
            <w:tcBorders>
              <w:top w:val="nil"/>
              <w:left w:val="single" w:sz="8" w:space="0" w:color="DFDFDF"/>
              <w:right w:val="nil"/>
            </w:tcBorders>
          </w:tcPr>
          <w:p>
            <w:pPr>
              <w:pStyle w:val="TableParagraph"/>
              <w:spacing w:line="240" w:lineRule="auto"/>
              <w:jc w:val="left"/>
              <w:rPr>
                <w:rFonts w:ascii="Arial"/>
                <w:b/>
                <w:sz w:val="20"/>
              </w:rPr>
            </w:pPr>
          </w:p>
          <w:p>
            <w:pPr>
              <w:pStyle w:val="TableParagraph"/>
              <w:spacing w:line="240" w:lineRule="auto"/>
              <w:jc w:val="left"/>
              <w:rPr>
                <w:rFonts w:ascii="Arial"/>
                <w:b/>
                <w:sz w:val="17"/>
              </w:rPr>
            </w:pPr>
          </w:p>
          <w:p>
            <w:pPr>
              <w:pStyle w:val="TableParagraph"/>
              <w:spacing w:line="192" w:lineRule="exact" w:before="1"/>
              <w:ind w:left="141"/>
              <w:jc w:val="left"/>
              <w:rPr>
                <w:rFonts w:ascii="Arial"/>
                <w:sz w:val="18"/>
              </w:rPr>
            </w:pPr>
            <w:r>
              <w:rPr>
                <w:rFonts w:ascii="Arial"/>
                <w:color w:val="25495F"/>
                <w:sz w:val="18"/>
              </w:rPr>
              <w:t>Durbin-Watson</w:t>
            </w:r>
          </w:p>
        </w:tc>
      </w:tr>
      <w:tr>
        <w:trPr>
          <w:trHeight w:val="301" w:hRule="atLeast"/>
        </w:trPr>
        <w:tc>
          <w:tcPr>
            <w:tcW w:w="797" w:type="dxa"/>
            <w:tcBorders>
              <w:left w:val="nil"/>
              <w:right w:val="nil"/>
            </w:tcBorders>
            <w:shd w:val="clear" w:color="auto" w:fill="DFDFDF"/>
          </w:tcPr>
          <w:p>
            <w:pPr>
              <w:pStyle w:val="TableParagraph"/>
              <w:spacing w:line="192" w:lineRule="exact" w:before="90"/>
              <w:ind w:left="71"/>
              <w:jc w:val="left"/>
              <w:rPr>
                <w:rFonts w:ascii="Arial"/>
                <w:sz w:val="18"/>
              </w:rPr>
            </w:pPr>
            <w:r>
              <w:rPr>
                <w:rFonts w:ascii="Arial"/>
                <w:color w:val="25495F"/>
                <w:w w:val="101"/>
                <w:sz w:val="18"/>
              </w:rPr>
              <w:t>1</w:t>
            </w:r>
          </w:p>
        </w:tc>
        <w:tc>
          <w:tcPr>
            <w:tcW w:w="1023" w:type="dxa"/>
            <w:tcBorders>
              <w:left w:val="nil"/>
              <w:right w:val="single" w:sz="8" w:space="0" w:color="DFDFDF"/>
            </w:tcBorders>
          </w:tcPr>
          <w:p>
            <w:pPr>
              <w:pStyle w:val="TableParagraph"/>
              <w:spacing w:line="192" w:lineRule="exact" w:before="90"/>
              <w:ind w:left="547"/>
              <w:jc w:val="left"/>
              <w:rPr>
                <w:rFonts w:ascii="Arial"/>
                <w:sz w:val="18"/>
              </w:rPr>
            </w:pPr>
            <w:r>
              <w:rPr>
                <w:rFonts w:ascii="Arial"/>
                <w:color w:val="000104"/>
                <w:sz w:val="18"/>
              </w:rPr>
              <w:t>.597</w:t>
            </w:r>
            <w:r>
              <w:rPr>
                <w:rFonts w:ascii="Arial"/>
                <w:color w:val="000104"/>
                <w:sz w:val="18"/>
                <w:vertAlign w:val="superscript"/>
              </w:rPr>
              <w:t>a</w:t>
            </w:r>
          </w:p>
        </w:tc>
        <w:tc>
          <w:tcPr>
            <w:tcW w:w="1086" w:type="dxa"/>
            <w:tcBorders>
              <w:left w:val="single" w:sz="8" w:space="0" w:color="DFDFDF"/>
              <w:right w:val="single" w:sz="8" w:space="0" w:color="DFDFDF"/>
            </w:tcBorders>
          </w:tcPr>
          <w:p>
            <w:pPr>
              <w:pStyle w:val="TableParagraph"/>
              <w:spacing w:line="192" w:lineRule="exact" w:before="90"/>
              <w:ind w:left="666"/>
              <w:jc w:val="left"/>
              <w:rPr>
                <w:rFonts w:ascii="Arial"/>
                <w:sz w:val="18"/>
              </w:rPr>
            </w:pPr>
            <w:r>
              <w:rPr>
                <w:rFonts w:ascii="Arial"/>
                <w:color w:val="000104"/>
                <w:sz w:val="18"/>
              </w:rPr>
              <w:t>.356</w:t>
            </w:r>
          </w:p>
        </w:tc>
        <w:tc>
          <w:tcPr>
            <w:tcW w:w="1470" w:type="dxa"/>
            <w:tcBorders>
              <w:left w:val="single" w:sz="8" w:space="0" w:color="DFDFDF"/>
              <w:right w:val="single" w:sz="8" w:space="0" w:color="DFDFDF"/>
            </w:tcBorders>
          </w:tcPr>
          <w:p>
            <w:pPr>
              <w:pStyle w:val="TableParagraph"/>
              <w:spacing w:line="192" w:lineRule="exact" w:before="90"/>
              <w:ind w:right="41"/>
              <w:rPr>
                <w:rFonts w:ascii="Arial"/>
                <w:sz w:val="18"/>
              </w:rPr>
            </w:pPr>
            <w:r>
              <w:rPr>
                <w:rFonts w:ascii="Arial"/>
                <w:color w:val="000104"/>
                <w:sz w:val="18"/>
              </w:rPr>
              <w:t>.316</w:t>
            </w:r>
          </w:p>
        </w:tc>
        <w:tc>
          <w:tcPr>
            <w:tcW w:w="1470" w:type="dxa"/>
            <w:tcBorders>
              <w:left w:val="single" w:sz="8" w:space="0" w:color="DFDFDF"/>
              <w:right w:val="single" w:sz="8" w:space="0" w:color="DFDFDF"/>
            </w:tcBorders>
          </w:tcPr>
          <w:p>
            <w:pPr>
              <w:pStyle w:val="TableParagraph"/>
              <w:spacing w:line="192" w:lineRule="exact" w:before="90"/>
              <w:ind w:left="449"/>
              <w:jc w:val="left"/>
              <w:rPr>
                <w:rFonts w:ascii="Arial"/>
                <w:sz w:val="18"/>
              </w:rPr>
            </w:pPr>
            <w:r>
              <w:rPr>
                <w:rFonts w:ascii="Arial"/>
                <w:color w:val="000104"/>
                <w:sz w:val="18"/>
              </w:rPr>
              <w:t>6899.82809</w:t>
            </w:r>
          </w:p>
        </w:tc>
        <w:tc>
          <w:tcPr>
            <w:tcW w:w="1470" w:type="dxa"/>
            <w:tcBorders>
              <w:left w:val="single" w:sz="8" w:space="0" w:color="DFDFDF"/>
              <w:right w:val="nil"/>
            </w:tcBorders>
          </w:tcPr>
          <w:p>
            <w:pPr>
              <w:pStyle w:val="TableParagraph"/>
              <w:spacing w:line="192" w:lineRule="exact" w:before="90"/>
              <w:ind w:left="958"/>
              <w:jc w:val="left"/>
              <w:rPr>
                <w:rFonts w:ascii="Arial"/>
                <w:sz w:val="18"/>
              </w:rPr>
            </w:pPr>
            <w:r>
              <w:rPr>
                <w:rFonts w:ascii="Arial"/>
                <w:color w:val="000104"/>
                <w:sz w:val="18"/>
              </w:rPr>
              <w:t>2.229</w:t>
            </w:r>
          </w:p>
        </w:tc>
      </w:tr>
    </w:tbl>
    <w:p>
      <w:pPr>
        <w:pStyle w:val="ListParagraph"/>
        <w:numPr>
          <w:ilvl w:val="0"/>
          <w:numId w:val="33"/>
        </w:numPr>
        <w:tabs>
          <w:tab w:pos="388" w:val="left" w:leader="none"/>
        </w:tabs>
        <w:spacing w:line="240" w:lineRule="auto" w:before="109" w:after="0"/>
        <w:ind w:left="388" w:right="0" w:hanging="206"/>
        <w:jc w:val="left"/>
        <w:rPr>
          <w:rFonts w:ascii="Arial"/>
          <w:sz w:val="18"/>
        </w:rPr>
      </w:pPr>
      <w:r>
        <w:rPr>
          <w:rFonts w:ascii="Arial"/>
          <w:color w:val="000104"/>
          <w:sz w:val="18"/>
        </w:rPr>
        <w:t>Predictors: (Constant), Return On </w:t>
      </w:r>
      <w:r>
        <w:rPr>
          <w:rFonts w:ascii="Arial"/>
          <w:color w:val="000104"/>
          <w:spacing w:val="-3"/>
          <w:sz w:val="18"/>
        </w:rPr>
        <w:t>Equity, </w:t>
      </w:r>
      <w:r>
        <w:rPr>
          <w:rFonts w:ascii="Arial"/>
          <w:color w:val="000104"/>
          <w:sz w:val="18"/>
        </w:rPr>
        <w:t>Return On</w:t>
      </w:r>
      <w:r>
        <w:rPr>
          <w:rFonts w:ascii="Arial"/>
          <w:color w:val="000104"/>
          <w:spacing w:val="-7"/>
          <w:sz w:val="18"/>
        </w:rPr>
        <w:t> </w:t>
      </w:r>
      <w:r>
        <w:rPr>
          <w:rFonts w:ascii="Arial"/>
          <w:color w:val="000104"/>
          <w:spacing w:val="-3"/>
          <w:sz w:val="18"/>
        </w:rPr>
        <w:t>Asset</w:t>
      </w:r>
    </w:p>
    <w:p>
      <w:pPr>
        <w:pStyle w:val="ListParagraph"/>
        <w:numPr>
          <w:ilvl w:val="0"/>
          <w:numId w:val="33"/>
        </w:numPr>
        <w:tabs>
          <w:tab w:pos="389" w:val="left" w:leader="none"/>
        </w:tabs>
        <w:spacing w:line="240" w:lineRule="auto" w:before="115" w:after="0"/>
        <w:ind w:left="388" w:right="0" w:hanging="207"/>
        <w:jc w:val="left"/>
        <w:rPr>
          <w:rFonts w:ascii="Arial"/>
          <w:sz w:val="18"/>
        </w:rPr>
      </w:pPr>
      <w:r>
        <w:rPr>
          <w:rFonts w:ascii="Arial"/>
          <w:color w:val="000104"/>
          <w:spacing w:val="-3"/>
          <w:sz w:val="18"/>
        </w:rPr>
        <w:t>Dependent </w:t>
      </w:r>
      <w:r>
        <w:rPr>
          <w:rFonts w:ascii="Arial"/>
          <w:color w:val="000104"/>
          <w:sz w:val="18"/>
        </w:rPr>
        <w:t>Variable: Harga</w:t>
      </w:r>
      <w:r>
        <w:rPr>
          <w:rFonts w:ascii="Arial"/>
          <w:color w:val="000104"/>
          <w:spacing w:val="12"/>
          <w:sz w:val="18"/>
        </w:rPr>
        <w:t> </w:t>
      </w:r>
      <w:r>
        <w:rPr>
          <w:rFonts w:ascii="Arial"/>
          <w:color w:val="000104"/>
          <w:spacing w:val="-3"/>
          <w:sz w:val="18"/>
        </w:rPr>
        <w:t>Saham</w:t>
      </w:r>
    </w:p>
    <w:p>
      <w:pPr>
        <w:spacing w:after="0" w:line="240" w:lineRule="auto"/>
        <w:jc w:val="left"/>
        <w:rPr>
          <w:rFonts w:ascii="Arial"/>
          <w:sz w:val="18"/>
        </w:rPr>
        <w:sectPr>
          <w:footerReference w:type="default" r:id="rId28"/>
          <w:pgSz w:w="11910" w:h="16840"/>
          <w:pgMar w:footer="918" w:header="0" w:top="1580" w:bottom="1100" w:left="1580" w:right="1480"/>
          <w:pgNumType w:start="63"/>
        </w:sectPr>
      </w:pPr>
    </w:p>
    <w:p>
      <w:pPr>
        <w:pStyle w:val="BodyText"/>
        <w:rPr>
          <w:rFonts w:ascii="Arial"/>
          <w:sz w:val="20"/>
        </w:rPr>
      </w:pPr>
    </w:p>
    <w:p>
      <w:pPr>
        <w:pStyle w:val="BodyText"/>
        <w:spacing w:before="6"/>
        <w:rPr>
          <w:rFonts w:ascii="Arial"/>
          <w:sz w:val="19"/>
        </w:rPr>
      </w:pPr>
    </w:p>
    <w:p>
      <w:pPr>
        <w:spacing w:before="56"/>
        <w:ind w:left="119" w:right="0" w:firstLine="0"/>
        <w:jc w:val="left"/>
        <w:rPr>
          <w:rFonts w:ascii="Calibri"/>
          <w:sz w:val="22"/>
        </w:rPr>
      </w:pPr>
      <w:r>
        <w:rPr>
          <w:rFonts w:ascii="Calibri"/>
          <w:sz w:val="22"/>
        </w:rPr>
        <w:t>Uji Multikolinearitas</w:t>
      </w:r>
    </w:p>
    <w:p>
      <w:pPr>
        <w:pStyle w:val="BodyText"/>
        <w:rPr>
          <w:rFonts w:ascii="Calibri"/>
          <w:sz w:val="20"/>
        </w:rPr>
      </w:pPr>
    </w:p>
    <w:p>
      <w:pPr>
        <w:spacing w:after="0"/>
        <w:rPr>
          <w:rFonts w:ascii="Calibri"/>
          <w:sz w:val="20"/>
        </w:rPr>
        <w:sectPr>
          <w:pgSz w:w="11910" w:h="16840"/>
          <w:pgMar w:header="0" w:footer="918" w:top="1580" w:bottom="1180" w:left="1580" w:right="14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8"/>
        </w:rPr>
      </w:pPr>
    </w:p>
    <w:p>
      <w:pPr>
        <w:spacing w:before="0"/>
        <w:ind w:left="182" w:right="0" w:firstLine="0"/>
        <w:jc w:val="left"/>
        <w:rPr>
          <w:rFonts w:ascii="Arial"/>
          <w:sz w:val="18"/>
        </w:rPr>
      </w:pPr>
      <w:r>
        <w:rPr/>
        <w:pict>
          <v:shape style="position:absolute;margin-left:84.984001pt;margin-top:10.601888pt;width:229.55pt;height:35.1pt;mso-position-horizontal-relative:page;mso-position-vertical-relative:paragraph;z-index:15735296" type="#_x0000_t202" filled="false" stroked="false">
            <v:textbox inset="0,0,0,0">
              <w:txbxContent>
                <w:tbl>
                  <w:tblPr>
                    <w:tblW w:w="0" w:type="auto"/>
                    <w:jc w:val="left"/>
                    <w:tblInd w:w="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5"/>
                    <w:gridCol w:w="1700"/>
                    <w:gridCol w:w="1134"/>
                    <w:gridCol w:w="1024"/>
                  </w:tblGrid>
                  <w:tr>
                    <w:trPr>
                      <w:trHeight w:val="320" w:hRule="atLeast"/>
                    </w:trPr>
                    <w:tc>
                      <w:tcPr>
                        <w:tcW w:w="735" w:type="dxa"/>
                        <w:vMerge w:val="restart"/>
                        <w:tcBorders>
                          <w:left w:val="nil"/>
                          <w:right w:val="nil"/>
                        </w:tcBorders>
                        <w:shd w:val="clear" w:color="auto" w:fill="DFDFDF"/>
                      </w:tcPr>
                      <w:p>
                        <w:pPr>
                          <w:pStyle w:val="TableParagraph"/>
                          <w:spacing w:line="240" w:lineRule="auto" w:before="109"/>
                          <w:ind w:left="62"/>
                          <w:jc w:val="left"/>
                          <w:rPr>
                            <w:rFonts w:ascii="Arial"/>
                            <w:sz w:val="18"/>
                          </w:rPr>
                        </w:pPr>
                        <w:r>
                          <w:rPr>
                            <w:rFonts w:ascii="Arial"/>
                            <w:color w:val="25495F"/>
                            <w:w w:val="101"/>
                            <w:sz w:val="18"/>
                          </w:rPr>
                          <w:t>1</w:t>
                        </w:r>
                      </w:p>
                    </w:tc>
                    <w:tc>
                      <w:tcPr>
                        <w:tcW w:w="1700" w:type="dxa"/>
                        <w:tcBorders>
                          <w:left w:val="nil"/>
                          <w:bottom w:val="single" w:sz="8" w:space="0" w:color="ADADAD"/>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Return On Asset</w:t>
                        </w:r>
                      </w:p>
                    </w:tc>
                    <w:tc>
                      <w:tcPr>
                        <w:tcW w:w="1134" w:type="dxa"/>
                        <w:tcBorders>
                          <w:left w:val="nil"/>
                          <w:bottom w:val="single" w:sz="8" w:space="0" w:color="ADADAD"/>
                          <w:right w:val="single" w:sz="8" w:space="0" w:color="DFDFDF"/>
                        </w:tcBorders>
                      </w:tcPr>
                      <w:p>
                        <w:pPr>
                          <w:pStyle w:val="TableParagraph"/>
                          <w:spacing w:line="192" w:lineRule="exact" w:before="109"/>
                          <w:ind w:right="55"/>
                          <w:rPr>
                            <w:rFonts w:ascii="Arial"/>
                            <w:sz w:val="18"/>
                          </w:rPr>
                        </w:pPr>
                        <w:r>
                          <w:rPr>
                            <w:rFonts w:ascii="Arial"/>
                            <w:color w:val="000104"/>
                            <w:sz w:val="18"/>
                          </w:rPr>
                          <w:t>.145</w:t>
                        </w:r>
                      </w:p>
                    </w:tc>
                    <w:tc>
                      <w:tcPr>
                        <w:tcW w:w="1024" w:type="dxa"/>
                        <w:tcBorders>
                          <w:left w:val="single" w:sz="8" w:space="0" w:color="DFDFDF"/>
                          <w:bottom w:val="single" w:sz="8" w:space="0" w:color="ADADAD"/>
                          <w:right w:val="nil"/>
                        </w:tcBorders>
                      </w:tcPr>
                      <w:p>
                        <w:pPr>
                          <w:pStyle w:val="TableParagraph"/>
                          <w:spacing w:line="192" w:lineRule="exact" w:before="109"/>
                          <w:ind w:right="52"/>
                          <w:rPr>
                            <w:rFonts w:ascii="Arial"/>
                            <w:sz w:val="18"/>
                          </w:rPr>
                        </w:pPr>
                        <w:r>
                          <w:rPr>
                            <w:rFonts w:ascii="Arial"/>
                            <w:color w:val="000104"/>
                            <w:sz w:val="18"/>
                          </w:rPr>
                          <w:t>6.876</w:t>
                        </w:r>
                      </w:p>
                    </w:tc>
                  </w:tr>
                  <w:tr>
                    <w:trPr>
                      <w:trHeight w:val="321" w:hRule="atLeast"/>
                    </w:trPr>
                    <w:tc>
                      <w:tcPr>
                        <w:tcW w:w="735" w:type="dxa"/>
                        <w:vMerge/>
                        <w:tcBorders>
                          <w:top w:val="nil"/>
                          <w:left w:val="nil"/>
                          <w:right w:val="nil"/>
                        </w:tcBorders>
                        <w:shd w:val="clear" w:color="auto" w:fill="DFDFDF"/>
                      </w:tcPr>
                      <w:p>
                        <w:pPr>
                          <w:rPr>
                            <w:sz w:val="2"/>
                            <w:szCs w:val="2"/>
                          </w:rPr>
                        </w:pPr>
                      </w:p>
                    </w:tc>
                    <w:tc>
                      <w:tcPr>
                        <w:tcW w:w="1700" w:type="dxa"/>
                        <w:tcBorders>
                          <w:top w:val="single" w:sz="8" w:space="0" w:color="ADADAD"/>
                          <w:left w:val="nil"/>
                          <w:right w:val="nil"/>
                        </w:tcBorders>
                        <w:shd w:val="clear" w:color="auto" w:fill="DFDFDF"/>
                      </w:tcPr>
                      <w:p>
                        <w:pPr>
                          <w:pStyle w:val="TableParagraph"/>
                          <w:spacing w:line="192" w:lineRule="exact" w:before="109"/>
                          <w:ind w:left="62"/>
                          <w:jc w:val="left"/>
                          <w:rPr>
                            <w:rFonts w:ascii="Arial"/>
                            <w:sz w:val="18"/>
                          </w:rPr>
                        </w:pPr>
                        <w:r>
                          <w:rPr>
                            <w:rFonts w:ascii="Arial"/>
                            <w:color w:val="25495F"/>
                            <w:sz w:val="18"/>
                          </w:rPr>
                          <w:t>Return On Equity</w:t>
                        </w:r>
                      </w:p>
                    </w:tc>
                    <w:tc>
                      <w:tcPr>
                        <w:tcW w:w="1134" w:type="dxa"/>
                        <w:tcBorders>
                          <w:top w:val="single" w:sz="8" w:space="0" w:color="ADADAD"/>
                          <w:left w:val="nil"/>
                          <w:right w:val="single" w:sz="8" w:space="0" w:color="DFDFDF"/>
                        </w:tcBorders>
                      </w:tcPr>
                      <w:p>
                        <w:pPr>
                          <w:pStyle w:val="TableParagraph"/>
                          <w:spacing w:line="192" w:lineRule="exact" w:before="109"/>
                          <w:ind w:right="55"/>
                          <w:rPr>
                            <w:rFonts w:ascii="Arial"/>
                            <w:sz w:val="18"/>
                          </w:rPr>
                        </w:pPr>
                        <w:r>
                          <w:rPr>
                            <w:rFonts w:ascii="Arial"/>
                            <w:color w:val="000104"/>
                            <w:sz w:val="18"/>
                          </w:rPr>
                          <w:t>.145</w:t>
                        </w:r>
                      </w:p>
                    </w:tc>
                    <w:tc>
                      <w:tcPr>
                        <w:tcW w:w="1024" w:type="dxa"/>
                        <w:tcBorders>
                          <w:top w:val="single" w:sz="8" w:space="0" w:color="ADADAD"/>
                          <w:left w:val="single" w:sz="8" w:space="0" w:color="DFDFDF"/>
                          <w:right w:val="nil"/>
                        </w:tcBorders>
                      </w:tcPr>
                      <w:p>
                        <w:pPr>
                          <w:pStyle w:val="TableParagraph"/>
                          <w:spacing w:line="192" w:lineRule="exact" w:before="109"/>
                          <w:ind w:right="52"/>
                          <w:rPr>
                            <w:rFonts w:ascii="Arial"/>
                            <w:sz w:val="18"/>
                          </w:rPr>
                        </w:pPr>
                        <w:r>
                          <w:rPr>
                            <w:rFonts w:ascii="Arial"/>
                            <w:color w:val="000104"/>
                            <w:sz w:val="18"/>
                          </w:rPr>
                          <w:t>6.876</w:t>
                        </w:r>
                      </w:p>
                    </w:tc>
                  </w:tr>
                </w:tbl>
                <w:p>
                  <w:pPr>
                    <w:pStyle w:val="BodyText"/>
                  </w:pPr>
                </w:p>
              </w:txbxContent>
            </v:textbox>
            <w10:wrap type="none"/>
          </v:shape>
        </w:pict>
      </w:r>
      <w:r>
        <w:rPr>
          <w:rFonts w:ascii="Arial"/>
          <w:color w:val="25495F"/>
          <w:sz w:val="18"/>
        </w:rPr>
        <w:t>Model</w:t>
      </w:r>
    </w:p>
    <w:p>
      <w:pPr>
        <w:pStyle w:val="BodyText"/>
        <w:spacing w:before="4"/>
        <w:rPr>
          <w:rFonts w:ascii="Arial"/>
          <w:sz w:val="23"/>
        </w:rPr>
      </w:pPr>
      <w:r>
        <w:rPr/>
        <w:br w:type="column"/>
      </w:r>
      <w:r>
        <w:rPr>
          <w:rFonts w:ascii="Arial"/>
          <w:sz w:val="23"/>
        </w:rPr>
      </w:r>
    </w:p>
    <w:p>
      <w:pPr>
        <w:spacing w:before="0"/>
        <w:ind w:left="182" w:right="0" w:firstLine="0"/>
        <w:jc w:val="left"/>
        <w:rPr>
          <w:rFonts w:ascii="Arial"/>
          <w:b/>
          <w:sz w:val="22"/>
        </w:rPr>
      </w:pPr>
      <w:r>
        <w:rPr>
          <w:rFonts w:ascii="Arial"/>
          <w:b/>
          <w:color w:val="000104"/>
          <w:sz w:val="22"/>
        </w:rPr>
        <w:t>Coefficients</w:t>
      </w:r>
      <w:r>
        <w:rPr>
          <w:rFonts w:ascii="Arial"/>
          <w:b/>
          <w:color w:val="000104"/>
          <w:sz w:val="22"/>
          <w:vertAlign w:val="superscript"/>
        </w:rPr>
        <w:t>a</w:t>
      </w:r>
    </w:p>
    <w:p>
      <w:pPr>
        <w:tabs>
          <w:tab w:pos="2501" w:val="left" w:leader="none"/>
        </w:tabs>
        <w:spacing w:line="372" w:lineRule="auto" w:before="111"/>
        <w:ind w:left="1146" w:right="4372" w:firstLine="91"/>
        <w:jc w:val="left"/>
        <w:rPr>
          <w:rFonts w:ascii="Arial"/>
          <w:sz w:val="18"/>
        </w:rPr>
      </w:pPr>
      <w:r>
        <w:rPr/>
        <w:pict>
          <v:rect style="position:absolute;margin-left:262.899994pt;margin-top:16.151894pt;width:.95999pt;height:16.080000pt;mso-position-horizontal-relative:page;mso-position-vertical-relative:paragraph;z-index:-18183168" filled="true" fillcolor="#dfdfdf" stroked="false">
            <v:fill type="solid"/>
            <w10:wrap type="none"/>
          </v:rect>
        </w:pict>
      </w:r>
      <w:r>
        <w:rPr>
          <w:rFonts w:ascii="Arial"/>
          <w:color w:val="25495F"/>
          <w:sz w:val="18"/>
        </w:rPr>
        <w:t>Collinearity Statistics Tolerance</w:t>
        <w:tab/>
        <w:t>VIF</w:t>
      </w:r>
    </w:p>
    <w:p>
      <w:pPr>
        <w:spacing w:after="0" w:line="372" w:lineRule="auto"/>
        <w:jc w:val="left"/>
        <w:rPr>
          <w:rFonts w:ascii="Arial"/>
          <w:sz w:val="18"/>
        </w:rPr>
        <w:sectPr>
          <w:type w:val="continuous"/>
          <w:pgSz w:w="11910" w:h="16840"/>
          <w:pgMar w:top="1580" w:bottom="280" w:left="1580" w:right="1480"/>
          <w:cols w:num="2" w:equalWidth="0">
            <w:col w:w="710" w:space="856"/>
            <w:col w:w="7284"/>
          </w:cols>
        </w:sectPr>
      </w:pPr>
    </w:p>
    <w:p>
      <w:pPr>
        <w:pStyle w:val="BodyText"/>
        <w:rPr>
          <w:rFonts w:ascii="Arial"/>
          <w:sz w:val="20"/>
        </w:rPr>
      </w:pPr>
    </w:p>
    <w:p>
      <w:pPr>
        <w:pStyle w:val="BodyText"/>
        <w:rPr>
          <w:rFonts w:ascii="Arial"/>
          <w:sz w:val="20"/>
        </w:rPr>
      </w:pPr>
    </w:p>
    <w:p>
      <w:pPr>
        <w:pStyle w:val="BodyText"/>
        <w:spacing w:before="8"/>
        <w:rPr>
          <w:rFonts w:ascii="Arial"/>
          <w:sz w:val="20"/>
        </w:rPr>
      </w:pPr>
    </w:p>
    <w:p>
      <w:pPr>
        <w:spacing w:before="0"/>
        <w:ind w:left="182" w:right="0" w:firstLine="0"/>
        <w:jc w:val="left"/>
        <w:rPr>
          <w:rFonts w:ascii="Arial"/>
          <w:sz w:val="18"/>
        </w:rPr>
      </w:pPr>
      <w:r>
        <w:rPr>
          <w:rFonts w:ascii="Arial"/>
          <w:color w:val="000104"/>
          <w:sz w:val="18"/>
        </w:rPr>
        <w:t>a. Dependent Variable: Harga Saham</w:t>
      </w:r>
    </w:p>
    <w:p>
      <w:pPr>
        <w:pStyle w:val="BodyText"/>
        <w:rPr>
          <w:rFonts w:ascii="Arial"/>
          <w:sz w:val="20"/>
        </w:rPr>
      </w:pPr>
    </w:p>
    <w:p>
      <w:pPr>
        <w:spacing w:before="185"/>
        <w:ind w:left="119" w:right="0" w:firstLine="0"/>
        <w:jc w:val="left"/>
        <w:rPr>
          <w:rFonts w:ascii="Calibri"/>
          <w:sz w:val="22"/>
        </w:rPr>
      </w:pPr>
      <w:r>
        <w:rPr>
          <w:rFonts w:ascii="Calibri"/>
          <w:sz w:val="22"/>
        </w:rPr>
        <w:t>Uji Heterokedastisitas</w:t>
      </w:r>
    </w:p>
    <w:p>
      <w:pPr>
        <w:pStyle w:val="BodyText"/>
        <w:rPr>
          <w:rFonts w:ascii="Calibri"/>
          <w:sz w:val="20"/>
        </w:rPr>
      </w:pPr>
    </w:p>
    <w:p>
      <w:pPr>
        <w:pStyle w:val="BodyText"/>
        <w:spacing w:before="6"/>
        <w:rPr>
          <w:rFonts w:ascii="Calibri"/>
          <w:sz w:val="10"/>
        </w:rPr>
      </w:pPr>
      <w:r>
        <w:rPr/>
        <w:drawing>
          <wp:anchor distT="0" distB="0" distL="0" distR="0" allowOverlap="1" layoutInCell="1" locked="0" behindDoc="0" simplePos="0" relativeHeight="11">
            <wp:simplePos x="0" y="0"/>
            <wp:positionH relativeFrom="page">
              <wp:posOffset>1960923</wp:posOffset>
            </wp:positionH>
            <wp:positionV relativeFrom="paragraph">
              <wp:posOffset>106288</wp:posOffset>
            </wp:positionV>
            <wp:extent cx="3501902" cy="4413123"/>
            <wp:effectExtent l="0" t="0" r="0" b="0"/>
            <wp:wrapTopAndBottom/>
            <wp:docPr id="17" name="image7.png"/>
            <wp:cNvGraphicFramePr>
              <a:graphicFrameLocks noChangeAspect="1"/>
            </wp:cNvGraphicFramePr>
            <a:graphic>
              <a:graphicData uri="http://schemas.openxmlformats.org/drawingml/2006/picture">
                <pic:pic>
                  <pic:nvPicPr>
                    <pic:cNvPr id="18" name="image7.png"/>
                    <pic:cNvPicPr/>
                  </pic:nvPicPr>
                  <pic:blipFill>
                    <a:blip r:embed="rId21" cstate="print"/>
                    <a:stretch>
                      <a:fillRect/>
                    </a:stretch>
                  </pic:blipFill>
                  <pic:spPr>
                    <a:xfrm>
                      <a:off x="0" y="0"/>
                      <a:ext cx="3501902" cy="4413123"/>
                    </a:xfrm>
                    <a:prstGeom prst="rect">
                      <a:avLst/>
                    </a:prstGeom>
                  </pic:spPr>
                </pic:pic>
              </a:graphicData>
            </a:graphic>
          </wp:anchor>
        </w:drawing>
      </w:r>
    </w:p>
    <w:p>
      <w:pPr>
        <w:spacing w:after="0"/>
        <w:rPr>
          <w:rFonts w:ascii="Calibri"/>
          <w:sz w:val="10"/>
        </w:rPr>
        <w:sectPr>
          <w:type w:val="continuous"/>
          <w:pgSz w:w="11910" w:h="16840"/>
          <w:pgMar w:top="1580" w:bottom="280" w:left="1580" w:right="1480"/>
        </w:sectPr>
      </w:pPr>
    </w:p>
    <w:p>
      <w:pPr>
        <w:pStyle w:val="BodyText"/>
        <w:spacing w:before="12"/>
        <w:rPr>
          <w:rFonts w:ascii="Calibri"/>
          <w:sz w:val="27"/>
        </w:rPr>
      </w:pPr>
    </w:p>
    <w:p>
      <w:pPr>
        <w:pStyle w:val="BodyText"/>
        <w:ind w:left="319"/>
        <w:rPr>
          <w:rFonts w:ascii="Calibri"/>
          <w:sz w:val="20"/>
        </w:rPr>
      </w:pPr>
      <w:r>
        <w:rPr>
          <w:rFonts w:ascii="Calibri"/>
          <w:sz w:val="20"/>
        </w:rPr>
        <w:drawing>
          <wp:inline distT="0" distB="0" distL="0" distR="0">
            <wp:extent cx="4740971" cy="4441412"/>
            <wp:effectExtent l="0" t="0" r="0" b="0"/>
            <wp:docPr id="19" name="image8.png"/>
            <wp:cNvGraphicFramePr>
              <a:graphicFrameLocks noChangeAspect="1"/>
            </wp:cNvGraphicFramePr>
            <a:graphic>
              <a:graphicData uri="http://schemas.openxmlformats.org/drawingml/2006/picture">
                <pic:pic>
                  <pic:nvPicPr>
                    <pic:cNvPr id="20" name="image8.png"/>
                    <pic:cNvPicPr/>
                  </pic:nvPicPr>
                  <pic:blipFill>
                    <a:blip r:embed="rId22" cstate="print"/>
                    <a:stretch>
                      <a:fillRect/>
                    </a:stretch>
                  </pic:blipFill>
                  <pic:spPr>
                    <a:xfrm>
                      <a:off x="0" y="0"/>
                      <a:ext cx="4740971" cy="4441412"/>
                    </a:xfrm>
                    <a:prstGeom prst="rect">
                      <a:avLst/>
                    </a:prstGeom>
                  </pic:spPr>
                </pic:pic>
              </a:graphicData>
            </a:graphic>
          </wp:inline>
        </w:drawing>
      </w:r>
      <w:r>
        <w:rPr>
          <w:rFonts w:ascii="Calibri"/>
          <w:sz w:val="20"/>
        </w:rPr>
      </w:r>
    </w:p>
    <w:p>
      <w:pPr>
        <w:spacing w:after="0"/>
        <w:rPr>
          <w:rFonts w:ascii="Calibri"/>
          <w:sz w:val="20"/>
        </w:rPr>
        <w:sectPr>
          <w:pgSz w:w="11910" w:h="16840"/>
          <w:pgMar w:header="0" w:footer="918" w:top="1580" w:bottom="1100" w:left="1580" w:right="1480"/>
        </w:sectPr>
      </w:pPr>
    </w:p>
    <w:p>
      <w:pPr>
        <w:pStyle w:val="BodyText"/>
        <w:spacing w:before="4" w:after="1"/>
        <w:rPr>
          <w:rFonts w:ascii="Calibri"/>
          <w:sz w:val="8"/>
        </w:rPr>
      </w:pPr>
    </w:p>
    <w:p>
      <w:pPr>
        <w:pStyle w:val="BodyText"/>
        <w:ind w:left="121"/>
        <w:rPr>
          <w:rFonts w:ascii="Calibri"/>
          <w:sz w:val="20"/>
        </w:rPr>
      </w:pPr>
      <w:r>
        <w:rPr>
          <w:rFonts w:ascii="Calibri"/>
          <w:sz w:val="20"/>
        </w:rPr>
        <w:drawing>
          <wp:inline distT="0" distB="0" distL="0" distR="0">
            <wp:extent cx="5137940" cy="7936992"/>
            <wp:effectExtent l="0" t="0" r="0" b="0"/>
            <wp:docPr id="21" name="image9.jpeg" descr="C:\Users\HASMIR~1\AppData\Local\Temp\Rar$DRa668.19910\susilvia\susilvia_4.jpg"/>
            <wp:cNvGraphicFramePr>
              <a:graphicFrameLocks noChangeAspect="1"/>
            </wp:cNvGraphicFramePr>
            <a:graphic>
              <a:graphicData uri="http://schemas.openxmlformats.org/drawingml/2006/picture">
                <pic:pic>
                  <pic:nvPicPr>
                    <pic:cNvPr id="22" name="image9.jpeg"/>
                    <pic:cNvPicPr/>
                  </pic:nvPicPr>
                  <pic:blipFill>
                    <a:blip r:embed="rId29" cstate="print"/>
                    <a:stretch>
                      <a:fillRect/>
                    </a:stretch>
                  </pic:blipFill>
                  <pic:spPr>
                    <a:xfrm>
                      <a:off x="0" y="0"/>
                      <a:ext cx="5137940" cy="7936992"/>
                    </a:xfrm>
                    <a:prstGeom prst="rect">
                      <a:avLst/>
                    </a:prstGeom>
                  </pic:spPr>
                </pic:pic>
              </a:graphicData>
            </a:graphic>
          </wp:inline>
        </w:drawing>
      </w:r>
      <w:r>
        <w:rPr>
          <w:rFonts w:ascii="Calibri"/>
          <w:sz w:val="20"/>
        </w:rPr>
      </w:r>
    </w:p>
    <w:p>
      <w:pPr>
        <w:spacing w:after="0"/>
        <w:rPr>
          <w:rFonts w:ascii="Calibri"/>
          <w:sz w:val="20"/>
        </w:rPr>
        <w:sectPr>
          <w:pgSz w:w="11910" w:h="16840"/>
          <w:pgMar w:header="0" w:footer="918" w:top="1580" w:bottom="1100" w:left="1580" w:right="1480"/>
        </w:sectPr>
      </w:pPr>
    </w:p>
    <w:p>
      <w:pPr>
        <w:pStyle w:val="BodyText"/>
        <w:spacing w:before="4" w:after="1"/>
        <w:rPr>
          <w:rFonts w:ascii="Calibri"/>
          <w:sz w:val="8"/>
        </w:rPr>
      </w:pPr>
    </w:p>
    <w:p>
      <w:pPr>
        <w:pStyle w:val="BodyText"/>
        <w:ind w:left="121"/>
        <w:rPr>
          <w:rFonts w:ascii="Calibri"/>
          <w:sz w:val="20"/>
        </w:rPr>
      </w:pPr>
      <w:r>
        <w:rPr>
          <w:rFonts w:ascii="Calibri"/>
          <w:sz w:val="20"/>
        </w:rPr>
        <w:drawing>
          <wp:inline distT="0" distB="0" distL="0" distR="0">
            <wp:extent cx="5039054" cy="8394192"/>
            <wp:effectExtent l="0" t="0" r="0" b="0"/>
            <wp:docPr id="23" name="image10.jpeg" descr="C:\Users\HASMIR~1\AppData\Local\Temp\Rar$DRa668.19910\susilvia\susilvia_5.jpg"/>
            <wp:cNvGraphicFramePr>
              <a:graphicFrameLocks noChangeAspect="1"/>
            </wp:cNvGraphicFramePr>
            <a:graphic>
              <a:graphicData uri="http://schemas.openxmlformats.org/drawingml/2006/picture">
                <pic:pic>
                  <pic:nvPicPr>
                    <pic:cNvPr id="24" name="image10.jpeg"/>
                    <pic:cNvPicPr/>
                  </pic:nvPicPr>
                  <pic:blipFill>
                    <a:blip r:embed="rId30" cstate="print"/>
                    <a:stretch>
                      <a:fillRect/>
                    </a:stretch>
                  </pic:blipFill>
                  <pic:spPr>
                    <a:xfrm>
                      <a:off x="0" y="0"/>
                      <a:ext cx="5039054" cy="8394192"/>
                    </a:xfrm>
                    <a:prstGeom prst="rect">
                      <a:avLst/>
                    </a:prstGeom>
                  </pic:spPr>
                </pic:pic>
              </a:graphicData>
            </a:graphic>
          </wp:inline>
        </w:drawing>
      </w:r>
      <w:r>
        <w:rPr>
          <w:rFonts w:ascii="Calibri"/>
          <w:sz w:val="20"/>
        </w:rPr>
      </w:r>
    </w:p>
    <w:p>
      <w:pPr>
        <w:spacing w:after="0"/>
        <w:rPr>
          <w:rFonts w:ascii="Calibri"/>
          <w:sz w:val="20"/>
        </w:rPr>
        <w:sectPr>
          <w:pgSz w:w="11910" w:h="16840"/>
          <w:pgMar w:header="0" w:footer="918" w:top="1580" w:bottom="1100" w:left="1580" w:right="1480"/>
        </w:sectPr>
      </w:pPr>
    </w:p>
    <w:p>
      <w:pPr>
        <w:spacing w:line="232" w:lineRule="auto" w:before="70"/>
        <w:ind w:left="4191" w:right="751" w:hanging="1668"/>
        <w:jc w:val="left"/>
        <w:rPr>
          <w:b/>
          <w:sz w:val="36"/>
        </w:rPr>
      </w:pPr>
      <w:r>
        <w:rPr/>
        <w:drawing>
          <wp:anchor distT="0" distB="0" distL="0" distR="0" allowOverlap="1" layoutInCell="1" locked="0" behindDoc="0" simplePos="0" relativeHeight="15736320">
            <wp:simplePos x="0" y="0"/>
            <wp:positionH relativeFrom="page">
              <wp:posOffset>477012</wp:posOffset>
            </wp:positionH>
            <wp:positionV relativeFrom="paragraph">
              <wp:posOffset>44752</wp:posOffset>
            </wp:positionV>
            <wp:extent cx="1255775" cy="1112520"/>
            <wp:effectExtent l="0" t="0" r="0" b="0"/>
            <wp:wrapNone/>
            <wp:docPr id="25" name="image11.jpeg"/>
            <wp:cNvGraphicFramePr>
              <a:graphicFrameLocks noChangeAspect="1"/>
            </wp:cNvGraphicFramePr>
            <a:graphic>
              <a:graphicData uri="http://schemas.openxmlformats.org/drawingml/2006/picture">
                <pic:pic>
                  <pic:nvPicPr>
                    <pic:cNvPr id="26" name="image11.jpeg"/>
                    <pic:cNvPicPr/>
                  </pic:nvPicPr>
                  <pic:blipFill>
                    <a:blip r:embed="rId32" cstate="print"/>
                    <a:stretch>
                      <a:fillRect/>
                    </a:stretch>
                  </pic:blipFill>
                  <pic:spPr>
                    <a:xfrm>
                      <a:off x="0" y="0"/>
                      <a:ext cx="1255775" cy="1112520"/>
                    </a:xfrm>
                    <a:prstGeom prst="rect">
                      <a:avLst/>
                    </a:prstGeom>
                  </pic:spPr>
                </pic:pic>
              </a:graphicData>
            </a:graphic>
          </wp:anchor>
        </w:drawing>
      </w:r>
      <w:r>
        <w:rPr>
          <w:b/>
          <w:color w:val="FF0000"/>
          <w:sz w:val="30"/>
        </w:rPr>
        <w:t>KEMENTERIAN PENDIDIKAN DAN</w:t>
      </w:r>
      <w:r>
        <w:rPr>
          <w:b/>
          <w:color w:val="FF0000"/>
          <w:spacing w:val="-27"/>
          <w:sz w:val="30"/>
        </w:rPr>
        <w:t> </w:t>
      </w:r>
      <w:r>
        <w:rPr>
          <w:b/>
          <w:color w:val="FF0000"/>
          <w:sz w:val="30"/>
        </w:rPr>
        <w:t>KEBUDAYAAN </w:t>
      </w:r>
      <w:r>
        <w:rPr>
          <w:b/>
          <w:color w:val="FF0000"/>
          <w:sz w:val="36"/>
        </w:rPr>
        <w:t>UNIVERSITAS ICHSAN (UNISAN)</w:t>
      </w:r>
      <w:r>
        <w:rPr>
          <w:b/>
          <w:color w:val="FF0000"/>
          <w:spacing w:val="-3"/>
          <w:sz w:val="36"/>
        </w:rPr>
        <w:t> </w:t>
      </w:r>
      <w:r>
        <w:rPr>
          <w:b/>
          <w:color w:val="FF0000"/>
          <w:sz w:val="36"/>
        </w:rPr>
        <w:t>GORONTALO</w:t>
      </w:r>
    </w:p>
    <w:p>
      <w:pPr>
        <w:pStyle w:val="BodyText"/>
        <w:spacing w:line="274" w:lineRule="exact"/>
        <w:ind w:left="2919"/>
        <w:rPr>
          <w:rFonts w:ascii="Arial"/>
        </w:rPr>
      </w:pPr>
      <w:r>
        <w:rPr>
          <w:rFonts w:ascii="Arial"/>
        </w:rPr>
        <w:t>SURAT KEPUTUSAN MENDIKNAS RI NOMOR 84/D/O/2001</w:t>
      </w:r>
    </w:p>
    <w:p>
      <w:pPr>
        <w:spacing w:before="58"/>
        <w:ind w:left="2249" w:right="0" w:firstLine="0"/>
        <w:jc w:val="left"/>
        <w:rPr>
          <w:rFonts w:ascii="Arial"/>
          <w:sz w:val="22"/>
        </w:rPr>
      </w:pPr>
      <w:r>
        <w:rPr/>
        <w:pict>
          <v:shape style="position:absolute;margin-left:46.560001pt;margin-top:21.138821pt;width:515.2pt;height:4pt;mso-position-horizontal-relative:page;mso-position-vertical-relative:paragraph;z-index:15735808" coordorigin="931,423" coordsize="10304,80" path="m11220,423l931,423,931,464,11220,464,11220,423xm11234,492l936,492,936,502,11234,502,11234,492xe" filled="true" fillcolor="#000000" stroked="false">
            <v:path arrowok="t"/>
            <v:fill type="solid"/>
            <w10:wrap type="none"/>
          </v:shape>
        </w:pict>
      </w:r>
      <w:r>
        <w:rPr>
          <w:rFonts w:ascii="Arial"/>
          <w:sz w:val="22"/>
        </w:rPr>
        <w:t>Jl. Achmad Nadjamuddin No. 17 Telp (0435) 829975 Fax (0435) 829976 Gorontalo</w:t>
      </w:r>
    </w:p>
    <w:p>
      <w:pPr>
        <w:pStyle w:val="BodyText"/>
        <w:rPr>
          <w:rFonts w:ascii="Arial"/>
        </w:rPr>
      </w:pPr>
    </w:p>
    <w:p>
      <w:pPr>
        <w:spacing w:before="170"/>
        <w:ind w:left="1544" w:right="0" w:firstLine="0"/>
        <w:jc w:val="center"/>
        <w:rPr>
          <w:rFonts w:ascii="Arial"/>
          <w:b/>
          <w:sz w:val="28"/>
        </w:rPr>
      </w:pPr>
      <w:r>
        <w:rPr>
          <w:spacing w:val="-71"/>
          <w:w w:val="100"/>
          <w:sz w:val="28"/>
          <w:u w:val="thick"/>
        </w:rPr>
        <w:t> </w:t>
      </w:r>
      <w:r>
        <w:rPr>
          <w:rFonts w:ascii="Arial"/>
          <w:b/>
          <w:spacing w:val="-5"/>
          <w:sz w:val="28"/>
          <w:u w:val="thick"/>
        </w:rPr>
        <w:t>SURAT </w:t>
      </w:r>
      <w:r>
        <w:rPr>
          <w:rFonts w:ascii="Arial"/>
          <w:b/>
          <w:sz w:val="28"/>
          <w:u w:val="thick"/>
        </w:rPr>
        <w:t>REKOMENDASI BEBAS </w:t>
      </w:r>
      <w:r>
        <w:rPr>
          <w:rFonts w:ascii="Arial"/>
          <w:b/>
          <w:spacing w:val="-3"/>
          <w:sz w:val="28"/>
          <w:u w:val="thick"/>
        </w:rPr>
        <w:t>PLAGIASI</w:t>
      </w:r>
    </w:p>
    <w:p>
      <w:pPr>
        <w:pStyle w:val="BodyText"/>
        <w:spacing w:before="95"/>
        <w:ind w:left="1615"/>
        <w:jc w:val="center"/>
        <w:rPr>
          <w:rFonts w:ascii="Arial"/>
        </w:rPr>
      </w:pPr>
      <w:r>
        <w:rPr>
          <w:rFonts w:ascii="Arial"/>
        </w:rPr>
        <w:t>No. 0084/UNISAN-G/S-BP/IV/2020</w:t>
      </w:r>
    </w:p>
    <w:p>
      <w:pPr>
        <w:pStyle w:val="BodyText"/>
        <w:spacing w:before="8"/>
        <w:rPr>
          <w:rFonts w:ascii="Arial"/>
        </w:rPr>
      </w:pPr>
    </w:p>
    <w:p>
      <w:pPr>
        <w:pStyle w:val="BodyText"/>
        <w:spacing w:before="93"/>
        <w:ind w:left="812"/>
        <w:rPr>
          <w:rFonts w:ascii="Arial"/>
        </w:rPr>
      </w:pPr>
      <w:r>
        <w:rPr>
          <w:rFonts w:ascii="Arial"/>
        </w:rPr>
        <w:t>Yang bertanda tangan di bawah ini :</w:t>
      </w:r>
    </w:p>
    <w:p>
      <w:pPr>
        <w:pStyle w:val="BodyText"/>
        <w:spacing w:before="7"/>
        <w:rPr>
          <w:rFonts w:ascii="Arial"/>
          <w:sz w:val="16"/>
        </w:rPr>
      </w:pPr>
    </w:p>
    <w:p>
      <w:pPr>
        <w:pStyle w:val="BodyText"/>
        <w:tabs>
          <w:tab w:pos="4260" w:val="left" w:leader="none"/>
          <w:tab w:pos="4531" w:val="left" w:leader="none"/>
        </w:tabs>
        <w:spacing w:before="95"/>
        <w:ind w:left="1937"/>
        <w:rPr>
          <w:rFonts w:ascii="Arial"/>
        </w:rPr>
      </w:pPr>
      <w:r>
        <w:rPr>
          <w:rFonts w:ascii="Arial"/>
        </w:rPr>
        <w:t>Nama</w:t>
        <w:tab/>
        <w:t>:</w:t>
        <w:tab/>
        <w:t>Sunarto Taliki, M.Kom</w:t>
      </w:r>
    </w:p>
    <w:p>
      <w:pPr>
        <w:pStyle w:val="BodyText"/>
        <w:tabs>
          <w:tab w:pos="4243" w:val="left" w:leader="none"/>
          <w:tab w:pos="4531" w:val="left" w:leader="none"/>
        </w:tabs>
        <w:spacing w:before="121"/>
        <w:ind w:left="1937"/>
        <w:rPr>
          <w:rFonts w:ascii="Arial"/>
        </w:rPr>
      </w:pPr>
      <w:r>
        <w:rPr>
          <w:rFonts w:ascii="Arial"/>
          <w:position w:val="1"/>
        </w:rPr>
        <w:t>NIDN</w:t>
        <w:tab/>
      </w:r>
      <w:r>
        <w:rPr>
          <w:rFonts w:ascii="Arial"/>
        </w:rPr>
        <w:t>:</w:t>
        <w:tab/>
      </w:r>
      <w:r>
        <w:rPr>
          <w:rFonts w:ascii="Arial"/>
          <w:position w:val="2"/>
        </w:rPr>
        <w:t>0906058301</w:t>
      </w:r>
    </w:p>
    <w:p>
      <w:pPr>
        <w:pStyle w:val="BodyText"/>
        <w:tabs>
          <w:tab w:pos="2469" w:val="left" w:leader="none"/>
          <w:tab w:pos="2757" w:val="left" w:leader="none"/>
        </w:tabs>
        <w:spacing w:before="96"/>
        <w:ind w:left="162"/>
        <w:jc w:val="center"/>
        <w:rPr>
          <w:rFonts w:ascii="Arial"/>
        </w:rPr>
      </w:pPr>
      <w:r>
        <w:rPr>
          <w:rFonts w:ascii="Arial"/>
        </w:rPr>
        <w:t>Unit Kerja</w:t>
        <w:tab/>
      </w:r>
      <w:r>
        <w:rPr>
          <w:rFonts w:ascii="Arial"/>
          <w:position w:val="1"/>
        </w:rPr>
        <w:t>:</w:t>
        <w:tab/>
        <w:t>Pustikom, Universitas Ichsan</w:t>
      </w:r>
      <w:r>
        <w:rPr>
          <w:rFonts w:ascii="Arial"/>
          <w:spacing w:val="2"/>
          <w:position w:val="1"/>
        </w:rPr>
        <w:t> </w:t>
      </w:r>
      <w:r>
        <w:rPr>
          <w:rFonts w:ascii="Arial"/>
          <w:position w:val="1"/>
        </w:rPr>
        <w:t>Gorontalo</w:t>
      </w:r>
    </w:p>
    <w:p>
      <w:pPr>
        <w:pStyle w:val="BodyText"/>
        <w:spacing w:before="6"/>
        <w:rPr>
          <w:rFonts w:ascii="Arial"/>
          <w:sz w:val="19"/>
        </w:rPr>
      </w:pPr>
    </w:p>
    <w:p>
      <w:pPr>
        <w:pStyle w:val="BodyText"/>
        <w:spacing w:before="92"/>
        <w:ind w:left="797"/>
        <w:rPr>
          <w:rFonts w:ascii="Arial"/>
        </w:rPr>
      </w:pPr>
      <w:r>
        <w:rPr>
          <w:rFonts w:ascii="Arial"/>
        </w:rPr>
        <w:t>Dengan ini Menyatakan bahwa</w:t>
      </w:r>
      <w:r>
        <w:rPr>
          <w:rFonts w:ascii="Arial"/>
          <w:spacing w:val="54"/>
        </w:rPr>
        <w:t> </w:t>
      </w:r>
      <w:r>
        <w:rPr>
          <w:rFonts w:ascii="Arial"/>
        </w:rPr>
        <w:t>:</w:t>
      </w:r>
    </w:p>
    <w:p>
      <w:pPr>
        <w:spacing w:after="0"/>
        <w:rPr>
          <w:rFonts w:ascii="Arial"/>
        </w:rPr>
        <w:sectPr>
          <w:footerReference w:type="default" r:id="rId31"/>
          <w:pgSz w:w="12240" w:h="20160"/>
          <w:pgMar w:footer="0" w:header="0" w:top="440" w:bottom="280" w:left="640" w:right="1080"/>
        </w:sectPr>
      </w:pPr>
    </w:p>
    <w:p>
      <w:pPr>
        <w:pStyle w:val="BodyText"/>
        <w:spacing w:before="5"/>
        <w:rPr>
          <w:rFonts w:ascii="Arial"/>
          <w:sz w:val="20"/>
        </w:rPr>
      </w:pPr>
    </w:p>
    <w:p>
      <w:pPr>
        <w:pStyle w:val="BodyText"/>
        <w:spacing w:line="261" w:lineRule="auto"/>
        <w:ind w:left="1952" w:right="-13"/>
        <w:rPr>
          <w:rFonts w:ascii="Arial"/>
        </w:rPr>
      </w:pPr>
      <w:r>
        <w:rPr>
          <w:rFonts w:ascii="Arial"/>
        </w:rPr>
        <w:t>Nama Mahasisw NIM</w:t>
      </w:r>
    </w:p>
    <w:p>
      <w:pPr>
        <w:pStyle w:val="BodyText"/>
        <w:spacing w:line="280" w:lineRule="auto" w:before="13"/>
        <w:ind w:left="1952" w:right="247"/>
        <w:rPr>
          <w:rFonts w:ascii="Arial"/>
        </w:rPr>
      </w:pPr>
      <w:r>
        <w:rPr>
          <w:rFonts w:ascii="Arial"/>
        </w:rPr>
        <w:t>Program </w:t>
      </w:r>
      <w:r>
        <w:rPr>
          <w:rFonts w:ascii="Arial"/>
          <w:spacing w:val="-4"/>
        </w:rPr>
        <w:t>Studi </w:t>
      </w:r>
      <w:r>
        <w:rPr>
          <w:rFonts w:ascii="Arial"/>
        </w:rPr>
        <w:t>Fakultas Judul</w:t>
      </w:r>
      <w:r>
        <w:rPr>
          <w:rFonts w:ascii="Arial"/>
          <w:spacing w:val="-1"/>
        </w:rPr>
        <w:t> </w:t>
      </w:r>
      <w:r>
        <w:rPr>
          <w:rFonts w:ascii="Arial"/>
        </w:rPr>
        <w:t>Skripsi</w:t>
      </w:r>
    </w:p>
    <w:p>
      <w:pPr>
        <w:pStyle w:val="BodyText"/>
        <w:spacing w:before="168"/>
        <w:ind w:left="502"/>
        <w:rPr>
          <w:rFonts w:ascii="Arial"/>
        </w:rPr>
      </w:pPr>
      <w:r>
        <w:rPr/>
        <w:br w:type="column"/>
      </w:r>
      <w:r>
        <w:rPr>
          <w:rFonts w:ascii="Arial"/>
          <w:position w:val="-1"/>
        </w:rPr>
        <w:t>: </w:t>
      </w:r>
      <w:r>
        <w:rPr>
          <w:rFonts w:ascii="Arial"/>
        </w:rPr>
        <w:t>SUSILVIA INDRA RANI</w:t>
      </w:r>
    </w:p>
    <w:p>
      <w:pPr>
        <w:pStyle w:val="BodyText"/>
        <w:spacing w:before="47"/>
        <w:ind w:left="516"/>
        <w:rPr>
          <w:rFonts w:ascii="Arial"/>
        </w:rPr>
      </w:pPr>
      <w:r>
        <w:rPr>
          <w:rFonts w:ascii="Arial"/>
        </w:rPr>
        <w:t>: </w:t>
      </w:r>
      <w:r>
        <w:rPr>
          <w:rFonts w:ascii="Arial"/>
          <w:position w:val="1"/>
        </w:rPr>
        <w:t>E2116178</w:t>
      </w:r>
    </w:p>
    <w:p>
      <w:pPr>
        <w:pStyle w:val="BodyText"/>
        <w:spacing w:before="57"/>
        <w:ind w:left="502"/>
        <w:rPr>
          <w:rFonts w:ascii="Arial"/>
        </w:rPr>
      </w:pPr>
      <w:r>
        <w:rPr>
          <w:rFonts w:ascii="Arial"/>
        </w:rPr>
        <w:t>: </w:t>
      </w:r>
      <w:r>
        <w:rPr>
          <w:rFonts w:ascii="Arial"/>
          <w:position w:val="1"/>
        </w:rPr>
        <w:t>Manajemen (S1)</w:t>
      </w:r>
    </w:p>
    <w:p>
      <w:pPr>
        <w:pStyle w:val="BodyText"/>
        <w:spacing w:before="58"/>
        <w:ind w:left="516"/>
        <w:rPr>
          <w:rFonts w:ascii="Arial"/>
        </w:rPr>
      </w:pPr>
      <w:r>
        <w:rPr>
          <w:rFonts w:ascii="Arial"/>
          <w:position w:val="-2"/>
        </w:rPr>
        <w:t>: </w:t>
      </w:r>
      <w:r>
        <w:rPr>
          <w:rFonts w:ascii="Arial"/>
        </w:rPr>
        <w:t>Fakultas Ekonomi</w:t>
      </w:r>
    </w:p>
    <w:p>
      <w:pPr>
        <w:pStyle w:val="BodyText"/>
        <w:spacing w:before="42"/>
        <w:ind w:left="759" w:right="105" w:hanging="243"/>
        <w:jc w:val="both"/>
        <w:rPr>
          <w:rFonts w:ascii="Arial"/>
        </w:rPr>
      </w:pPr>
      <w:r>
        <w:rPr>
          <w:rFonts w:ascii="Arial"/>
          <w:position w:val="1"/>
        </w:rPr>
        <w:t>: </w:t>
      </w:r>
      <w:r>
        <w:rPr>
          <w:rFonts w:ascii="Arial"/>
        </w:rPr>
        <w:t>Pengaruh Roa Dan Roe Terhadap Harga Saham Pada Perusahaan Sub Sektor Semen yang Terdaftar di Bursa Efek Indonesia</w:t>
      </w:r>
    </w:p>
    <w:p>
      <w:pPr>
        <w:spacing w:after="0"/>
        <w:jc w:val="both"/>
        <w:rPr>
          <w:rFonts w:ascii="Arial"/>
        </w:rPr>
        <w:sectPr>
          <w:type w:val="continuous"/>
          <w:pgSz w:w="12240" w:h="20160"/>
          <w:pgMar w:top="1580" w:bottom="280" w:left="640" w:right="1080"/>
          <w:cols w:num="2" w:equalWidth="0">
            <w:col w:w="3733" w:space="40"/>
            <w:col w:w="6747"/>
          </w:cols>
        </w:sectPr>
      </w:pPr>
    </w:p>
    <w:p>
      <w:pPr>
        <w:pStyle w:val="BodyText"/>
        <w:rPr>
          <w:rFonts w:ascii="Arial"/>
          <w:sz w:val="20"/>
        </w:rPr>
      </w:pPr>
    </w:p>
    <w:p>
      <w:pPr>
        <w:pStyle w:val="BodyText"/>
        <w:spacing w:before="2"/>
        <w:rPr>
          <w:rFonts w:ascii="Arial"/>
          <w:sz w:val="17"/>
        </w:rPr>
      </w:pPr>
    </w:p>
    <w:p>
      <w:pPr>
        <w:pStyle w:val="BodyText"/>
        <w:tabs>
          <w:tab w:pos="3966" w:val="left" w:leader="none"/>
          <w:tab w:pos="5045" w:val="left" w:leader="none"/>
          <w:tab w:pos="6286" w:val="left" w:leader="none"/>
          <w:tab w:pos="7915" w:val="left" w:leader="none"/>
          <w:tab w:pos="8591" w:val="left" w:leader="none"/>
        </w:tabs>
        <w:spacing w:before="93"/>
        <w:ind w:left="766" w:right="106"/>
        <w:rPr>
          <w:rFonts w:ascii="Arial"/>
        </w:rPr>
      </w:pPr>
      <w:r>
        <w:rPr>
          <w:rFonts w:ascii="Arial"/>
        </w:rPr>
        <w:t>Sesuai dengan hasil pengecekan tingkat kemiripan skripsi melalui aplikasi Turnitin untuk judul skripsi di atas diperoleh hasil Similarity sebesar 24%, berdasarkan SK Rektor No. 237/UNISAN-G/SK/IX/2019</w:t>
        <w:tab/>
        <w:t>tentang</w:t>
        <w:tab/>
        <w:t>Panduan</w:t>
        <w:tab/>
        <w:t>Pencegahan</w:t>
        <w:tab/>
        <w:t>dan</w:t>
        <w:tab/>
        <w:t>Penanggulangan Plagiarisme, bahwa batas kemiripan skripsi maksimal 35% dan sesuai dengan Surat Pernyataan dari kedua Pembimbing yang bersangkutan menyatakan bahwa isi softcopy skripsi yang diolah di Turnitin SAMA ISINYA dengan Skripsi Aslinya serta format penulisannya sudah sesuai dengan Buku Panduan Penulisan Skripsi, untuk itu skripsi tersebut di atas dinyatakan BEBAS PLAGIASI dan layak untuk</w:t>
      </w:r>
      <w:r>
        <w:rPr>
          <w:rFonts w:ascii="Arial"/>
          <w:spacing w:val="-7"/>
        </w:rPr>
        <w:t> </w:t>
      </w:r>
      <w:r>
        <w:rPr>
          <w:rFonts w:ascii="Arial"/>
        </w:rPr>
        <w:t>diujiankan.</w:t>
      </w:r>
    </w:p>
    <w:p>
      <w:pPr>
        <w:pStyle w:val="BodyText"/>
        <w:spacing w:before="3"/>
        <w:rPr>
          <w:rFonts w:ascii="Arial"/>
          <w:sz w:val="28"/>
        </w:rPr>
      </w:pPr>
    </w:p>
    <w:p>
      <w:pPr>
        <w:pStyle w:val="BodyText"/>
        <w:spacing w:before="93"/>
        <w:ind w:left="780"/>
        <w:rPr>
          <w:rFonts w:ascii="Arial"/>
        </w:rPr>
      </w:pPr>
      <w:r>
        <w:rPr>
          <w:rFonts w:ascii="Arial"/>
        </w:rPr>
        <w:t>Demikian surat rekomendasi ini dibuat untuk digunakan sebagaimana mestinya.</w:t>
      </w:r>
    </w:p>
    <w:p>
      <w:pPr>
        <w:pStyle w:val="BodyText"/>
        <w:spacing w:before="3"/>
        <w:rPr>
          <w:rFonts w:ascii="Arial"/>
          <w:sz w:val="22"/>
        </w:rPr>
      </w:pPr>
    </w:p>
    <w:p>
      <w:pPr>
        <w:pStyle w:val="BodyText"/>
        <w:spacing w:line="276" w:lineRule="auto" w:before="1"/>
        <w:ind w:left="6646" w:right="1250" w:firstLine="2"/>
        <w:rPr>
          <w:rFonts w:ascii="Arial"/>
        </w:rPr>
      </w:pPr>
      <w:r>
        <w:rPr>
          <w:rFonts w:ascii="Arial"/>
        </w:rPr>
        <w:t>Gorontalo, 16 April 2020 Tim Verifikasi,</w:t>
      </w:r>
    </w:p>
    <w:p>
      <w:pPr>
        <w:pStyle w:val="BodyText"/>
        <w:rPr>
          <w:rFonts w:ascii="Arial"/>
          <w:sz w:val="20"/>
        </w:rPr>
      </w:pPr>
    </w:p>
    <w:p>
      <w:pPr>
        <w:pStyle w:val="BodyText"/>
        <w:rPr>
          <w:rFonts w:ascii="Arial"/>
          <w:sz w:val="20"/>
        </w:rPr>
      </w:pPr>
    </w:p>
    <w:p>
      <w:pPr>
        <w:pStyle w:val="BodyText"/>
        <w:spacing w:before="8"/>
        <w:rPr>
          <w:rFonts w:ascii="Arial"/>
          <w:sz w:val="29"/>
        </w:rPr>
      </w:pPr>
    </w:p>
    <w:p>
      <w:pPr>
        <w:spacing w:before="92"/>
        <w:ind w:left="6648" w:right="0" w:firstLine="0"/>
        <w:jc w:val="left"/>
        <w:rPr>
          <w:rFonts w:ascii="Arial"/>
          <w:b/>
          <w:sz w:val="24"/>
        </w:rPr>
      </w:pPr>
      <w:r>
        <w:rPr/>
        <w:drawing>
          <wp:anchor distT="0" distB="0" distL="0" distR="0" allowOverlap="1" layoutInCell="1" locked="0" behindDoc="1" simplePos="0" relativeHeight="485135360">
            <wp:simplePos x="0" y="0"/>
            <wp:positionH relativeFrom="page">
              <wp:posOffset>4201667</wp:posOffset>
            </wp:positionH>
            <wp:positionV relativeFrom="paragraph">
              <wp:posOffset>-534722</wp:posOffset>
            </wp:positionV>
            <wp:extent cx="1417319" cy="626363"/>
            <wp:effectExtent l="0" t="0" r="0" b="0"/>
            <wp:wrapNone/>
            <wp:docPr id="27" name="image12.jpeg"/>
            <wp:cNvGraphicFramePr>
              <a:graphicFrameLocks noChangeAspect="1"/>
            </wp:cNvGraphicFramePr>
            <a:graphic>
              <a:graphicData uri="http://schemas.openxmlformats.org/drawingml/2006/picture">
                <pic:pic>
                  <pic:nvPicPr>
                    <pic:cNvPr id="28" name="image12.jpeg"/>
                    <pic:cNvPicPr/>
                  </pic:nvPicPr>
                  <pic:blipFill>
                    <a:blip r:embed="rId33" cstate="print"/>
                    <a:stretch>
                      <a:fillRect/>
                    </a:stretch>
                  </pic:blipFill>
                  <pic:spPr>
                    <a:xfrm>
                      <a:off x="0" y="0"/>
                      <a:ext cx="1417319" cy="626363"/>
                    </a:xfrm>
                    <a:prstGeom prst="rect">
                      <a:avLst/>
                    </a:prstGeom>
                  </pic:spPr>
                </pic:pic>
              </a:graphicData>
            </a:graphic>
          </wp:anchor>
        </w:drawing>
      </w:r>
      <w:r>
        <w:rPr>
          <w:spacing w:val="-61"/>
          <w:sz w:val="24"/>
          <w:u w:val="thick"/>
        </w:rPr>
        <w:t> </w:t>
      </w:r>
      <w:r>
        <w:rPr>
          <w:rFonts w:ascii="Arial"/>
          <w:b/>
          <w:sz w:val="24"/>
          <w:u w:val="thick"/>
        </w:rPr>
        <w:t>Sunarto Taliki, M.Kom</w:t>
      </w:r>
    </w:p>
    <w:p>
      <w:pPr>
        <w:pStyle w:val="BodyText"/>
        <w:spacing w:before="36"/>
        <w:ind w:left="6648"/>
        <w:rPr>
          <w:rFonts w:ascii="Arial"/>
        </w:rPr>
      </w:pPr>
      <w:r>
        <w:rPr>
          <w:rFonts w:ascii="Arial"/>
        </w:rPr>
        <w:t>NIDN. 0906058301</w:t>
      </w:r>
    </w:p>
    <w:p>
      <w:pPr>
        <w:pStyle w:val="BodyText"/>
        <w:spacing w:before="5"/>
        <w:rPr>
          <w:rFonts w:ascii="Arial"/>
          <w:sz w:val="20"/>
        </w:rPr>
      </w:pPr>
    </w:p>
    <w:p>
      <w:pPr>
        <w:pStyle w:val="BodyText"/>
        <w:ind w:left="797"/>
        <w:rPr>
          <w:rFonts w:ascii="Arial"/>
        </w:rPr>
      </w:pPr>
      <w:r>
        <w:rPr>
          <w:spacing w:val="-61"/>
          <w:u w:val="single"/>
        </w:rPr>
        <w:t> </w:t>
      </w:r>
      <w:r>
        <w:rPr>
          <w:rFonts w:ascii="Arial"/>
          <w:spacing w:val="-5"/>
          <w:u w:val="single"/>
        </w:rPr>
        <w:t>Tembusan </w:t>
      </w:r>
      <w:r>
        <w:rPr>
          <w:rFonts w:ascii="Arial"/>
          <w:u w:val="single"/>
        </w:rPr>
        <w:t>:</w:t>
      </w:r>
    </w:p>
    <w:p>
      <w:pPr>
        <w:pStyle w:val="ListParagraph"/>
        <w:numPr>
          <w:ilvl w:val="0"/>
          <w:numId w:val="34"/>
        </w:numPr>
        <w:tabs>
          <w:tab w:pos="1158" w:val="left" w:leader="none"/>
        </w:tabs>
        <w:spacing w:line="240" w:lineRule="auto" w:before="0" w:after="0"/>
        <w:ind w:left="1157" w:right="0" w:hanging="356"/>
        <w:jc w:val="left"/>
        <w:rPr>
          <w:rFonts w:ascii="Arial"/>
          <w:sz w:val="24"/>
        </w:rPr>
      </w:pPr>
      <w:r>
        <w:rPr>
          <w:rFonts w:ascii="Arial"/>
          <w:sz w:val="24"/>
        </w:rPr>
        <w:t>Dekan</w:t>
      </w:r>
    </w:p>
    <w:p>
      <w:pPr>
        <w:pStyle w:val="ListParagraph"/>
        <w:numPr>
          <w:ilvl w:val="0"/>
          <w:numId w:val="34"/>
        </w:numPr>
        <w:tabs>
          <w:tab w:pos="1158" w:val="left" w:leader="none"/>
        </w:tabs>
        <w:spacing w:line="240" w:lineRule="auto" w:before="1" w:after="0"/>
        <w:ind w:left="1157" w:right="0" w:hanging="356"/>
        <w:jc w:val="left"/>
        <w:rPr>
          <w:rFonts w:ascii="Arial"/>
          <w:sz w:val="24"/>
        </w:rPr>
      </w:pPr>
      <w:r>
        <w:rPr>
          <w:rFonts w:ascii="Arial"/>
          <w:sz w:val="24"/>
        </w:rPr>
        <w:t>Ketua Program</w:t>
      </w:r>
      <w:r>
        <w:rPr>
          <w:rFonts w:ascii="Arial"/>
          <w:spacing w:val="1"/>
          <w:sz w:val="24"/>
        </w:rPr>
        <w:t> </w:t>
      </w:r>
      <w:r>
        <w:rPr>
          <w:rFonts w:ascii="Arial"/>
          <w:sz w:val="24"/>
        </w:rPr>
        <w:t>Studi</w:t>
      </w:r>
    </w:p>
    <w:p>
      <w:pPr>
        <w:pStyle w:val="ListParagraph"/>
        <w:numPr>
          <w:ilvl w:val="0"/>
          <w:numId w:val="34"/>
        </w:numPr>
        <w:tabs>
          <w:tab w:pos="1158" w:val="left" w:leader="none"/>
        </w:tabs>
        <w:spacing w:line="240" w:lineRule="auto" w:before="0" w:after="0"/>
        <w:ind w:left="1157" w:right="0" w:hanging="356"/>
        <w:jc w:val="left"/>
        <w:rPr>
          <w:rFonts w:ascii="Arial"/>
          <w:sz w:val="24"/>
        </w:rPr>
      </w:pPr>
      <w:r>
        <w:rPr>
          <w:rFonts w:ascii="Arial"/>
          <w:sz w:val="24"/>
        </w:rPr>
        <w:t>Pembimbing I dan Pembimbing II</w:t>
      </w:r>
    </w:p>
    <w:p>
      <w:pPr>
        <w:pStyle w:val="ListParagraph"/>
        <w:numPr>
          <w:ilvl w:val="0"/>
          <w:numId w:val="34"/>
        </w:numPr>
        <w:tabs>
          <w:tab w:pos="1158" w:val="left" w:leader="none"/>
        </w:tabs>
        <w:spacing w:line="240" w:lineRule="auto" w:before="0" w:after="0"/>
        <w:ind w:left="1157" w:right="0" w:hanging="356"/>
        <w:jc w:val="left"/>
        <w:rPr>
          <w:rFonts w:ascii="Arial"/>
          <w:sz w:val="24"/>
        </w:rPr>
      </w:pPr>
      <w:r>
        <w:rPr>
          <w:rFonts w:ascii="Arial"/>
          <w:sz w:val="24"/>
        </w:rPr>
        <w:t>Yang bersangkutan</w:t>
      </w:r>
    </w:p>
    <w:p>
      <w:pPr>
        <w:pStyle w:val="ListParagraph"/>
        <w:numPr>
          <w:ilvl w:val="0"/>
          <w:numId w:val="34"/>
        </w:numPr>
        <w:tabs>
          <w:tab w:pos="1158" w:val="left" w:leader="none"/>
        </w:tabs>
        <w:spacing w:line="240" w:lineRule="auto" w:before="0" w:after="0"/>
        <w:ind w:left="1157" w:right="0" w:hanging="356"/>
        <w:jc w:val="left"/>
        <w:rPr>
          <w:rFonts w:ascii="Arial"/>
          <w:sz w:val="24"/>
        </w:rPr>
      </w:pPr>
      <w:r>
        <w:rPr>
          <w:rFonts w:ascii="Arial"/>
          <w:sz w:val="24"/>
        </w:rPr>
        <w:t>Arsip</w:t>
      </w:r>
    </w:p>
    <w:p>
      <w:pPr>
        <w:spacing w:after="0" w:line="240" w:lineRule="auto"/>
        <w:jc w:val="left"/>
        <w:rPr>
          <w:rFonts w:ascii="Arial"/>
          <w:sz w:val="24"/>
        </w:rPr>
        <w:sectPr>
          <w:type w:val="continuous"/>
          <w:pgSz w:w="12240" w:h="20160"/>
          <w:pgMar w:top="1580" w:bottom="280" w:left="640" w:right="1080"/>
        </w:sectPr>
      </w:pPr>
    </w:p>
    <w:p>
      <w:pPr>
        <w:spacing w:line="278" w:lineRule="auto" w:before="68"/>
        <w:ind w:left="119" w:right="0" w:firstLine="0"/>
        <w:jc w:val="left"/>
        <w:rPr>
          <w:rFonts w:ascii="Arial"/>
          <w:sz w:val="37"/>
        </w:rPr>
      </w:pPr>
      <w:r>
        <w:rPr/>
        <w:pict>
          <v:rect style="position:absolute;margin-left:34.468254pt;margin-top:102.985039pt;width:547.194684pt;height:1.537064pt;mso-position-horizontal-relative:page;mso-position-vertical-relative:paragraph;z-index:15741952" filled="true" fillcolor="#999999" stroked="false">
            <v:fill type="solid"/>
            <w10:wrap type="none"/>
          </v:rect>
        </w:pict>
      </w:r>
      <w:bookmarkStart w:name="Skripsi_SUSILVIA INDRARANI_E2116178_PENG" w:id="27"/>
      <w:bookmarkEnd w:id="27"/>
      <w:r>
        <w:rPr/>
      </w:r>
      <w:r>
        <w:rPr>
          <w:rFonts w:ascii="Arial"/>
          <w:color w:val="333333"/>
          <w:sz w:val="37"/>
        </w:rPr>
        <w:t>Skripsi_SUSILVIA INDRARANI_E2116178_PENGARUH RETURN ON ASSET DAN RETURN ON EQUITY TERHADAP HARGA SAHAM PADA PERUSAHAAN SUB SEKTOR</w:t>
      </w:r>
      <w:r>
        <w:rPr>
          <w:rFonts w:ascii="Arial"/>
          <w:color w:val="333333"/>
          <w:spacing w:val="-64"/>
          <w:sz w:val="37"/>
        </w:rPr>
        <w:t> </w:t>
      </w:r>
      <w:r>
        <w:rPr>
          <w:rFonts w:ascii="Arial"/>
          <w:color w:val="333333"/>
          <w:sz w:val="37"/>
        </w:rPr>
        <w:t>SEMEN YANG TERDAFTAR DI BURSA EFEK INDONESIA</w:t>
      </w:r>
    </w:p>
    <w:p>
      <w:pPr>
        <w:spacing w:after="0" w:line="278" w:lineRule="auto"/>
        <w:jc w:val="left"/>
        <w:rPr>
          <w:rFonts w:ascii="Arial"/>
          <w:sz w:val="37"/>
        </w:rPr>
        <w:sectPr>
          <w:footerReference w:type="default" r:id="rId34"/>
          <w:pgSz w:w="12240" w:h="15840"/>
          <w:pgMar w:footer="0" w:header="0" w:top="520" w:bottom="280" w:left="800" w:right="500"/>
        </w:sectPr>
      </w:pPr>
    </w:p>
    <w:p>
      <w:pPr>
        <w:spacing w:before="171"/>
        <w:ind w:left="119" w:right="0" w:firstLine="0"/>
        <w:jc w:val="left"/>
        <w:rPr>
          <w:rFonts w:ascii="Arial"/>
          <w:sz w:val="18"/>
        </w:rPr>
      </w:pPr>
      <w:bookmarkStart w:name="ORIGINALITY REPORT" w:id="28"/>
      <w:bookmarkEnd w:id="28"/>
      <w:r>
        <w:rPr/>
      </w:r>
      <w:r>
        <w:rPr>
          <w:rFonts w:ascii="Arial"/>
          <w:color w:val="FF0000"/>
          <w:sz w:val="18"/>
        </w:rPr>
        <w:t>ORIGINALITY REPORT</w:t>
      </w:r>
    </w:p>
    <w:p>
      <w:pPr>
        <w:spacing w:line="1256" w:lineRule="exact" w:before="99"/>
        <w:ind w:left="119" w:right="0" w:firstLine="0"/>
        <w:jc w:val="left"/>
        <w:rPr>
          <w:rFonts w:ascii="Arial"/>
          <w:sz w:val="37"/>
        </w:rPr>
      </w:pPr>
      <w:r>
        <w:rPr/>
        <w:pict>
          <v:rect style="position:absolute;margin-left:34.468254pt;margin-top:5.047051pt;width:547.194684pt;height:.768532pt;mso-position-horizontal-relative:page;mso-position-vertical-relative:paragraph;z-index:-18175488" filled="true" fillcolor="#999999" stroked="false">
            <v:fill type="solid"/>
            <w10:wrap type="none"/>
          </v:rect>
        </w:pict>
      </w:r>
      <w:r>
        <w:rPr>
          <w:rFonts w:ascii="Arial"/>
          <w:color w:val="FF0000"/>
          <w:spacing w:val="-1"/>
          <w:w w:val="100"/>
          <w:sz w:val="110"/>
        </w:rPr>
        <w:t>2</w:t>
      </w:r>
      <w:r>
        <w:rPr>
          <w:rFonts w:ascii="Arial"/>
          <w:color w:val="FF0000"/>
          <w:spacing w:val="-2"/>
          <w:w w:val="100"/>
          <w:sz w:val="110"/>
        </w:rPr>
        <w:t>4</w:t>
      </w:r>
      <w:r>
        <w:rPr>
          <w:rFonts w:ascii="Arial"/>
          <w:color w:val="333333"/>
          <w:w w:val="99"/>
          <w:sz w:val="37"/>
        </w:rPr>
        <w:t>%</w:t>
      </w:r>
    </w:p>
    <w:p>
      <w:pPr>
        <w:spacing w:line="255" w:lineRule="exact" w:before="0"/>
        <w:ind w:left="119" w:right="0" w:firstLine="0"/>
        <w:jc w:val="left"/>
        <w:rPr>
          <w:rFonts w:ascii="Arial"/>
          <w:sz w:val="23"/>
        </w:rPr>
      </w:pPr>
      <w:r>
        <w:rPr>
          <w:rFonts w:ascii="Arial"/>
          <w:color w:val="333333"/>
          <w:sz w:val="23"/>
        </w:rPr>
        <w:t>SIMILARITY INDEX</w:t>
      </w:r>
    </w:p>
    <w:p>
      <w:pPr>
        <w:pStyle w:val="BodyText"/>
        <w:spacing w:before="11"/>
        <w:rPr>
          <w:rFonts w:ascii="Arial"/>
          <w:sz w:val="72"/>
        </w:rPr>
      </w:pPr>
      <w:r>
        <w:rPr/>
        <w:br w:type="column"/>
      </w:r>
      <w:r>
        <w:rPr>
          <w:rFonts w:ascii="Arial"/>
          <w:sz w:val="72"/>
        </w:rPr>
      </w:r>
    </w:p>
    <w:p>
      <w:pPr>
        <w:spacing w:before="0"/>
        <w:ind w:left="119" w:right="0" w:firstLine="0"/>
        <w:jc w:val="left"/>
        <w:rPr>
          <w:rFonts w:ascii="Arial"/>
          <w:sz w:val="37"/>
        </w:rPr>
      </w:pPr>
      <w:r>
        <w:rPr>
          <w:rFonts w:ascii="Arial"/>
          <w:color w:val="333333"/>
          <w:sz w:val="73"/>
        </w:rPr>
        <w:t>23</w:t>
      </w:r>
      <w:r>
        <w:rPr>
          <w:rFonts w:ascii="Arial"/>
          <w:color w:val="333333"/>
          <w:sz w:val="37"/>
        </w:rPr>
        <w:t>%</w:t>
      </w:r>
    </w:p>
    <w:p>
      <w:pPr>
        <w:spacing w:before="45"/>
        <w:ind w:left="119" w:right="0" w:firstLine="0"/>
        <w:jc w:val="left"/>
        <w:rPr>
          <w:rFonts w:ascii="Arial"/>
          <w:sz w:val="23"/>
        </w:rPr>
      </w:pPr>
      <w:r>
        <w:rPr>
          <w:rFonts w:ascii="Arial"/>
          <w:color w:val="333333"/>
          <w:sz w:val="23"/>
        </w:rPr>
        <w:t>INTERNET SOURCES</w:t>
      </w:r>
    </w:p>
    <w:p>
      <w:pPr>
        <w:pStyle w:val="BodyText"/>
        <w:spacing w:before="11"/>
        <w:rPr>
          <w:rFonts w:ascii="Arial"/>
          <w:sz w:val="72"/>
        </w:rPr>
      </w:pPr>
      <w:r>
        <w:rPr/>
        <w:br w:type="column"/>
      </w:r>
      <w:r>
        <w:rPr>
          <w:rFonts w:ascii="Arial"/>
          <w:sz w:val="72"/>
        </w:rPr>
      </w:r>
    </w:p>
    <w:p>
      <w:pPr>
        <w:spacing w:before="0"/>
        <w:ind w:left="119" w:right="0" w:firstLine="0"/>
        <w:jc w:val="left"/>
        <w:rPr>
          <w:rFonts w:ascii="Arial"/>
          <w:sz w:val="37"/>
        </w:rPr>
      </w:pPr>
      <w:r>
        <w:rPr>
          <w:rFonts w:ascii="Arial"/>
          <w:color w:val="333333"/>
          <w:sz w:val="73"/>
        </w:rPr>
        <w:t>12</w:t>
      </w:r>
      <w:r>
        <w:rPr>
          <w:rFonts w:ascii="Arial"/>
          <w:color w:val="333333"/>
          <w:sz w:val="37"/>
        </w:rPr>
        <w:t>%</w:t>
      </w:r>
    </w:p>
    <w:p>
      <w:pPr>
        <w:spacing w:before="45"/>
        <w:ind w:left="119" w:right="0" w:firstLine="0"/>
        <w:jc w:val="left"/>
        <w:rPr>
          <w:rFonts w:ascii="Arial"/>
          <w:sz w:val="23"/>
        </w:rPr>
      </w:pPr>
      <w:r>
        <w:rPr>
          <w:rFonts w:ascii="Arial"/>
          <w:color w:val="333333"/>
          <w:sz w:val="23"/>
        </w:rPr>
        <w:t>PUBLICATIONS</w:t>
      </w:r>
    </w:p>
    <w:p>
      <w:pPr>
        <w:pStyle w:val="BodyText"/>
        <w:spacing w:before="11"/>
        <w:rPr>
          <w:rFonts w:ascii="Arial"/>
          <w:sz w:val="72"/>
        </w:rPr>
      </w:pPr>
      <w:r>
        <w:rPr/>
        <w:br w:type="column"/>
      </w:r>
      <w:r>
        <w:rPr>
          <w:rFonts w:ascii="Arial"/>
          <w:sz w:val="72"/>
        </w:rPr>
      </w:r>
    </w:p>
    <w:p>
      <w:pPr>
        <w:spacing w:before="0"/>
        <w:ind w:left="119" w:right="0" w:firstLine="0"/>
        <w:jc w:val="left"/>
        <w:rPr>
          <w:rFonts w:ascii="Arial"/>
          <w:sz w:val="37"/>
        </w:rPr>
      </w:pPr>
      <w:r>
        <w:rPr>
          <w:rFonts w:ascii="Arial"/>
          <w:color w:val="333333"/>
          <w:sz w:val="73"/>
        </w:rPr>
        <w:t>21</w:t>
      </w:r>
      <w:r>
        <w:rPr>
          <w:rFonts w:ascii="Arial"/>
          <w:color w:val="333333"/>
          <w:sz w:val="37"/>
        </w:rPr>
        <w:t>%</w:t>
      </w:r>
    </w:p>
    <w:p>
      <w:pPr>
        <w:spacing w:before="45"/>
        <w:ind w:left="119" w:right="0" w:firstLine="0"/>
        <w:jc w:val="left"/>
        <w:rPr>
          <w:rFonts w:ascii="Arial"/>
          <w:sz w:val="23"/>
        </w:rPr>
      </w:pPr>
      <w:r>
        <w:rPr>
          <w:rFonts w:ascii="Arial"/>
          <w:color w:val="333333"/>
          <w:sz w:val="23"/>
        </w:rPr>
        <w:t>STUDENT PAPERS</w:t>
      </w:r>
    </w:p>
    <w:p>
      <w:pPr>
        <w:spacing w:after="0"/>
        <w:jc w:val="left"/>
        <w:rPr>
          <w:rFonts w:ascii="Arial"/>
          <w:sz w:val="23"/>
        </w:rPr>
        <w:sectPr>
          <w:type w:val="continuous"/>
          <w:pgSz w:w="12240" w:h="15840"/>
          <w:pgMar w:top="1580" w:bottom="280" w:left="800" w:right="500"/>
          <w:cols w:num="4" w:equalWidth="0">
            <w:col w:w="2208" w:space="528"/>
            <w:col w:w="2516" w:space="220"/>
            <w:col w:w="1850" w:space="886"/>
            <w:col w:w="2732"/>
          </w:cols>
        </w:sectPr>
      </w:pPr>
    </w:p>
    <w:p>
      <w:pPr>
        <w:pStyle w:val="BodyText"/>
        <w:rPr>
          <w:rFonts w:ascii="Arial"/>
          <w:sz w:val="20"/>
        </w:rPr>
      </w:pPr>
    </w:p>
    <w:p>
      <w:pPr>
        <w:pStyle w:val="BodyText"/>
        <w:spacing w:before="2"/>
        <w:rPr>
          <w:rFonts w:ascii="Arial"/>
          <w:sz w:val="13"/>
        </w:rPr>
      </w:pPr>
    </w:p>
    <w:p>
      <w:pPr>
        <w:pStyle w:val="BodyText"/>
        <w:spacing w:line="30" w:lineRule="exact"/>
        <w:ind w:left="-111"/>
        <w:rPr>
          <w:rFonts w:ascii="Arial"/>
          <w:sz w:val="3"/>
        </w:rPr>
      </w:pPr>
      <w:r>
        <w:rPr>
          <w:rFonts w:ascii="Arial"/>
          <w:position w:val="0"/>
          <w:sz w:val="3"/>
        </w:rPr>
        <w:pict>
          <v:group style="width:547.2pt;height:1.55pt;mso-position-horizontal-relative:char;mso-position-vertical-relative:line" coordorigin="0,0" coordsize="10944,31">
            <v:rect style="position:absolute;left:0;top:0;width:10944;height:31" filled="true" fillcolor="#999999" stroked="false">
              <v:fill type="solid"/>
            </v:rect>
          </v:group>
        </w:pict>
      </w:r>
      <w:r>
        <w:rPr>
          <w:rFonts w:ascii="Arial"/>
          <w:position w:val="0"/>
          <w:sz w:val="3"/>
        </w:rPr>
      </w:r>
    </w:p>
    <w:p>
      <w:pPr>
        <w:spacing w:before="124"/>
        <w:ind w:left="119" w:right="0" w:firstLine="0"/>
        <w:jc w:val="left"/>
        <w:rPr>
          <w:rFonts w:ascii="Arial"/>
          <w:sz w:val="18"/>
        </w:rPr>
      </w:pPr>
      <w:bookmarkStart w:name="PRIMARY SOURCES" w:id="29"/>
      <w:bookmarkEnd w:id="29"/>
      <w:r>
        <w:rPr/>
      </w:r>
      <w:r>
        <w:rPr>
          <w:rFonts w:ascii="Arial"/>
          <w:color w:val="FF0000"/>
          <w:sz w:val="18"/>
        </w:rPr>
        <w:t>PRIMARY SOURCES</w:t>
      </w:r>
    </w:p>
    <w:p>
      <w:pPr>
        <w:pStyle w:val="BodyText"/>
        <w:spacing w:before="8"/>
        <w:rPr>
          <w:rFonts w:ascii="Arial"/>
          <w:sz w:val="8"/>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BodyText"/>
        <w:spacing w:before="4"/>
        <w:rPr>
          <w:rFonts w:ascii="Arial"/>
          <w:sz w:val="19"/>
        </w:rPr>
      </w:pPr>
    </w:p>
    <w:p>
      <w:pPr>
        <w:pStyle w:val="Heading1"/>
        <w:spacing w:line="367" w:lineRule="exact" w:before="0"/>
      </w:pPr>
      <w:r>
        <w:rPr/>
        <w:pict>
          <v:group style="position:absolute;margin-left:45.996231pt;margin-top:6.293145pt;width:27.7pt;height:28.45pt;mso-position-horizontal-relative:page;mso-position-vertical-relative:paragraph;z-index:15743488" coordorigin="920,126" coordsize="554,569">
            <v:rect style="position:absolute;left:919;top:125;width:554;height:569" filled="true" fillcolor="#ff0000" stroked="false">
              <v:fill type="solid"/>
            </v:rect>
            <v:shape style="position:absolute;left:919;top:125;width:554;height:569" type="#_x0000_t202" filled="false" stroked="false">
              <v:textbox inset="0,0,0,0">
                <w:txbxContent>
                  <w:p>
                    <w:pPr>
                      <w:spacing w:before="86"/>
                      <w:ind w:left="176" w:right="0" w:firstLine="0"/>
                      <w:jc w:val="left"/>
                      <w:rPr>
                        <w:rFonts w:ascii="Arial"/>
                        <w:sz w:val="35"/>
                      </w:rPr>
                    </w:pPr>
                    <w:r>
                      <w:rPr>
                        <w:rFonts w:ascii="Arial"/>
                        <w:color w:val="FFFFFF"/>
                        <w:w w:val="101"/>
                        <w:sz w:val="35"/>
                      </w:rPr>
                      <w:t>1</w:t>
                    </w:r>
                  </w:p>
                </w:txbxContent>
              </v:textbox>
              <w10:wrap type="none"/>
            </v:shape>
            <w10:wrap type="none"/>
          </v:group>
        </w:pict>
      </w:r>
      <w:r>
        <w:rPr/>
        <w:pict>
          <v:shape style="position:absolute;margin-left:544.004883pt;margin-top:-2.362695pt;width:21.4pt;height:42.95pt;mso-position-horizontal-relative:page;mso-position-vertical-relative:paragraph;z-index:-18166784" type="#_x0000_t202" filled="false" stroked="false">
            <v:textbox inset="0,0,0,0">
              <w:txbxContent>
                <w:p>
                  <w:pPr>
                    <w:spacing w:line="859" w:lineRule="exact" w:before="0"/>
                    <w:ind w:left="0" w:right="0" w:firstLine="0"/>
                    <w:jc w:val="left"/>
                    <w:rPr>
                      <w:rFonts w:ascii="Arial"/>
                      <w:sz w:val="77"/>
                    </w:rPr>
                  </w:pPr>
                  <w:r>
                    <w:rPr>
                      <w:rFonts w:ascii="Arial"/>
                      <w:color w:val="333333"/>
                      <w:w w:val="99"/>
                      <w:sz w:val="77"/>
                    </w:rPr>
                    <w:t>2</w:t>
                  </w:r>
                </w:p>
              </w:txbxContent>
            </v:textbox>
            <w10:wrap type="none"/>
          </v:shape>
        </w:pict>
      </w:r>
      <w:r>
        <w:rPr>
          <w:color w:val="FF0000"/>
        </w:rPr>
        <w:t>docplayer.info</w:t>
      </w:r>
    </w:p>
    <w:p>
      <w:pPr>
        <w:tabs>
          <w:tab w:pos="10510" w:val="left" w:leader="none"/>
        </w:tabs>
        <w:spacing w:line="376" w:lineRule="exact" w:before="0"/>
        <w:ind w:left="1042" w:right="0" w:firstLine="0"/>
        <w:jc w:val="left"/>
        <w:rPr>
          <w:rFonts w:ascii="Arial"/>
          <w:sz w:val="37"/>
        </w:rPr>
      </w:pPr>
      <w:r>
        <w:rPr>
          <w:rFonts w:ascii="Arial"/>
          <w:color w:val="767676"/>
          <w:sz w:val="23"/>
        </w:rPr>
        <w:t>Internet</w:t>
      </w:r>
      <w:r>
        <w:rPr>
          <w:rFonts w:ascii="Arial"/>
          <w:color w:val="767676"/>
          <w:spacing w:val="-3"/>
          <w:sz w:val="23"/>
        </w:rPr>
        <w:t> </w:t>
      </w:r>
      <w:r>
        <w:rPr>
          <w:rFonts w:ascii="Arial"/>
          <w:color w:val="767676"/>
          <w:sz w:val="23"/>
        </w:rPr>
        <w:t>Source</w:t>
        <w:tab/>
      </w:r>
      <w:r>
        <w:rPr>
          <w:rFonts w:ascii="Arial"/>
          <w:color w:val="333333"/>
          <w:position w:val="5"/>
          <w:sz w:val="37"/>
        </w:rPr>
        <w:t>%</w:t>
      </w:r>
    </w:p>
    <w:p>
      <w:pPr>
        <w:pStyle w:val="BodyText"/>
        <w:spacing w:before="6"/>
        <w:rPr>
          <w:rFonts w:ascii="Arial"/>
          <w:sz w:val="22"/>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Heading1"/>
        <w:spacing w:line="367" w:lineRule="exact" w:before="223"/>
      </w:pPr>
      <w:r>
        <w:rPr/>
        <w:pict>
          <v:group style="position:absolute;margin-left:45.996231pt;margin-top:17.443157pt;width:27.7pt;height:28.45pt;mso-position-horizontal-relative:page;mso-position-vertical-relative:paragraph;z-index:15744512" coordorigin="920,349" coordsize="554,569">
            <v:rect style="position:absolute;left:919;top:348;width:554;height:569" filled="true" fillcolor="#e70bd6" stroked="false">
              <v:fill type="solid"/>
            </v:rect>
            <v:shape style="position:absolute;left:919;top:348;width:554;height:569" type="#_x0000_t202" filled="false" stroked="false">
              <v:textbox inset="0,0,0,0">
                <w:txbxContent>
                  <w:p>
                    <w:pPr>
                      <w:spacing w:before="86"/>
                      <w:ind w:left="176" w:right="0" w:firstLine="0"/>
                      <w:jc w:val="left"/>
                      <w:rPr>
                        <w:rFonts w:ascii="Arial"/>
                        <w:sz w:val="35"/>
                      </w:rPr>
                    </w:pPr>
                    <w:r>
                      <w:rPr>
                        <w:rFonts w:ascii="Arial"/>
                        <w:color w:val="FFFFFF"/>
                        <w:w w:val="101"/>
                        <w:sz w:val="35"/>
                      </w:rPr>
                      <w:t>2</w:t>
                    </w:r>
                  </w:p>
                </w:txbxContent>
              </v:textbox>
              <w10:wrap type="none"/>
            </v:shape>
            <w10:wrap type="none"/>
          </v:group>
        </w:pict>
      </w:r>
      <w:r>
        <w:rPr/>
        <w:pict>
          <v:shape style="position:absolute;margin-left:544.004883pt;margin-top:8.787318pt;width:21.4pt;height:42.95pt;mso-position-horizontal-relative:page;mso-position-vertical-relative:paragraph;z-index:-18166272" type="#_x0000_t202" filled="false" stroked="false">
            <v:textbox inset="0,0,0,0">
              <w:txbxContent>
                <w:p>
                  <w:pPr>
                    <w:spacing w:line="859" w:lineRule="exact" w:before="0"/>
                    <w:ind w:left="0" w:right="0" w:firstLine="0"/>
                    <w:jc w:val="left"/>
                    <w:rPr>
                      <w:rFonts w:ascii="Arial"/>
                      <w:sz w:val="77"/>
                    </w:rPr>
                  </w:pPr>
                  <w:r>
                    <w:rPr>
                      <w:rFonts w:ascii="Arial"/>
                      <w:color w:val="333333"/>
                      <w:w w:val="99"/>
                      <w:sz w:val="77"/>
                    </w:rPr>
                    <w:t>1</w:t>
                  </w:r>
                </w:p>
              </w:txbxContent>
            </v:textbox>
            <w10:wrap type="none"/>
          </v:shape>
        </w:pict>
      </w:r>
      <w:hyperlink r:id="rId35">
        <w:r>
          <w:rPr>
            <w:color w:val="E70BD6"/>
          </w:rPr>
          <w:t>www.scribd.com</w:t>
        </w:r>
      </w:hyperlink>
    </w:p>
    <w:p>
      <w:pPr>
        <w:tabs>
          <w:tab w:pos="10510" w:val="left" w:leader="none"/>
        </w:tabs>
        <w:spacing w:line="376" w:lineRule="exact" w:before="0"/>
        <w:ind w:left="1042" w:right="0" w:firstLine="0"/>
        <w:jc w:val="left"/>
        <w:rPr>
          <w:rFonts w:ascii="Arial"/>
          <w:sz w:val="37"/>
        </w:rPr>
      </w:pPr>
      <w:r>
        <w:rPr>
          <w:rFonts w:ascii="Arial"/>
          <w:color w:val="767676"/>
          <w:sz w:val="23"/>
        </w:rPr>
        <w:t>Internet</w:t>
      </w:r>
      <w:r>
        <w:rPr>
          <w:rFonts w:ascii="Arial"/>
          <w:color w:val="767676"/>
          <w:spacing w:val="-3"/>
          <w:sz w:val="23"/>
        </w:rPr>
        <w:t> </w:t>
      </w:r>
      <w:r>
        <w:rPr>
          <w:rFonts w:ascii="Arial"/>
          <w:color w:val="767676"/>
          <w:sz w:val="23"/>
        </w:rPr>
        <w:t>Source</w:t>
        <w:tab/>
      </w:r>
      <w:r>
        <w:rPr>
          <w:rFonts w:ascii="Arial"/>
          <w:color w:val="333333"/>
          <w:position w:val="5"/>
          <w:sz w:val="37"/>
        </w:rPr>
        <w:t>%</w:t>
      </w:r>
    </w:p>
    <w:p>
      <w:pPr>
        <w:pStyle w:val="BodyText"/>
        <w:spacing w:before="5"/>
        <w:rPr>
          <w:rFonts w:ascii="Arial"/>
          <w:sz w:val="22"/>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Heading1"/>
        <w:spacing w:line="367" w:lineRule="exact" w:before="223"/>
      </w:pPr>
      <w:r>
        <w:rPr/>
        <w:pict>
          <v:group style="position:absolute;margin-left:45.996231pt;margin-top:17.44314pt;width:27.7pt;height:28.45pt;mso-position-horizontal-relative:page;mso-position-vertical-relative:paragraph;z-index:15745536" coordorigin="920,349" coordsize="554,569">
            <v:rect style="position:absolute;left:919;top:348;width:554;height:569" filled="true" fillcolor="#8b05ff" stroked="false">
              <v:fill type="solid"/>
            </v:rect>
            <v:shape style="position:absolute;left:919;top:348;width:554;height:569" type="#_x0000_t202" filled="false" stroked="false">
              <v:textbox inset="0,0,0,0">
                <w:txbxContent>
                  <w:p>
                    <w:pPr>
                      <w:spacing w:before="86"/>
                      <w:ind w:left="176" w:right="0" w:firstLine="0"/>
                      <w:jc w:val="left"/>
                      <w:rPr>
                        <w:rFonts w:ascii="Arial"/>
                        <w:sz w:val="35"/>
                      </w:rPr>
                    </w:pPr>
                    <w:r>
                      <w:rPr>
                        <w:rFonts w:ascii="Arial"/>
                        <w:color w:val="FFFFFF"/>
                        <w:w w:val="101"/>
                        <w:sz w:val="35"/>
                      </w:rPr>
                      <w:t>3</w:t>
                    </w:r>
                  </w:p>
                </w:txbxContent>
              </v:textbox>
              <w10:wrap type="none"/>
            </v:shape>
            <w10:wrap type="none"/>
          </v:group>
        </w:pict>
      </w:r>
      <w:r>
        <w:rPr/>
        <w:pict>
          <v:shape style="position:absolute;margin-left:544.004883pt;margin-top:8.787301pt;width:21.4pt;height:42.95pt;mso-position-horizontal-relative:page;mso-position-vertical-relative:paragraph;z-index:-18165760" type="#_x0000_t202" filled="false" stroked="false">
            <v:textbox inset="0,0,0,0">
              <w:txbxContent>
                <w:p>
                  <w:pPr>
                    <w:spacing w:line="859" w:lineRule="exact" w:before="0"/>
                    <w:ind w:left="0" w:right="0" w:firstLine="0"/>
                    <w:jc w:val="left"/>
                    <w:rPr>
                      <w:rFonts w:ascii="Arial"/>
                      <w:sz w:val="77"/>
                    </w:rPr>
                  </w:pPr>
                  <w:r>
                    <w:rPr>
                      <w:rFonts w:ascii="Arial"/>
                      <w:color w:val="333333"/>
                      <w:w w:val="99"/>
                      <w:sz w:val="77"/>
                    </w:rPr>
                    <w:t>1</w:t>
                  </w:r>
                </w:p>
              </w:txbxContent>
            </v:textbox>
            <w10:wrap type="none"/>
          </v:shape>
        </w:pict>
      </w:r>
      <w:r>
        <w:rPr>
          <w:color w:val="8B05FF"/>
        </w:rPr>
        <w:t>repository.unpas.ac.id</w:t>
      </w:r>
    </w:p>
    <w:p>
      <w:pPr>
        <w:tabs>
          <w:tab w:pos="10510" w:val="left" w:leader="none"/>
        </w:tabs>
        <w:spacing w:line="376" w:lineRule="exact" w:before="0"/>
        <w:ind w:left="1042" w:right="0" w:firstLine="0"/>
        <w:jc w:val="left"/>
        <w:rPr>
          <w:rFonts w:ascii="Arial"/>
          <w:sz w:val="37"/>
        </w:rPr>
      </w:pPr>
      <w:r>
        <w:rPr>
          <w:rFonts w:ascii="Arial"/>
          <w:color w:val="767676"/>
          <w:sz w:val="23"/>
        </w:rPr>
        <w:t>Internet</w:t>
      </w:r>
      <w:r>
        <w:rPr>
          <w:rFonts w:ascii="Arial"/>
          <w:color w:val="767676"/>
          <w:spacing w:val="-3"/>
          <w:sz w:val="23"/>
        </w:rPr>
        <w:t> </w:t>
      </w:r>
      <w:r>
        <w:rPr>
          <w:rFonts w:ascii="Arial"/>
          <w:color w:val="767676"/>
          <w:sz w:val="23"/>
        </w:rPr>
        <w:t>Source</w:t>
        <w:tab/>
      </w:r>
      <w:r>
        <w:rPr>
          <w:rFonts w:ascii="Arial"/>
          <w:color w:val="333333"/>
          <w:position w:val="5"/>
          <w:sz w:val="37"/>
        </w:rPr>
        <w:t>%</w:t>
      </w:r>
    </w:p>
    <w:p>
      <w:pPr>
        <w:pStyle w:val="BodyText"/>
        <w:spacing w:before="5"/>
        <w:rPr>
          <w:rFonts w:ascii="Arial"/>
          <w:sz w:val="22"/>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Heading1"/>
        <w:spacing w:line="367" w:lineRule="exact" w:before="223"/>
      </w:pPr>
      <w:r>
        <w:rPr/>
        <w:pict>
          <v:group style="position:absolute;margin-left:45.996231pt;margin-top:17.443151pt;width:27.7pt;height:28.45pt;mso-position-horizontal-relative:page;mso-position-vertical-relative:paragraph;z-index:15746560" coordorigin="920,349" coordsize="554,569">
            <v:rect style="position:absolute;left:919;top:348;width:554;height:569" filled="true" fillcolor="#00a9a9" stroked="false">
              <v:fill type="solid"/>
            </v:rect>
            <v:shape style="position:absolute;left:919;top:348;width:554;height:569" type="#_x0000_t202" filled="false" stroked="false">
              <v:textbox inset="0,0,0,0">
                <w:txbxContent>
                  <w:p>
                    <w:pPr>
                      <w:spacing w:before="86"/>
                      <w:ind w:left="176" w:right="0" w:firstLine="0"/>
                      <w:jc w:val="left"/>
                      <w:rPr>
                        <w:rFonts w:ascii="Arial"/>
                        <w:sz w:val="35"/>
                      </w:rPr>
                    </w:pPr>
                    <w:r>
                      <w:rPr>
                        <w:rFonts w:ascii="Arial"/>
                        <w:color w:val="FFFFFF"/>
                        <w:w w:val="101"/>
                        <w:sz w:val="35"/>
                      </w:rPr>
                      <w:t>4</w:t>
                    </w:r>
                  </w:p>
                </w:txbxContent>
              </v:textbox>
              <w10:wrap type="none"/>
            </v:shape>
            <w10:wrap type="none"/>
          </v:group>
        </w:pict>
      </w:r>
      <w:r>
        <w:rPr/>
        <w:pict>
          <v:shape style="position:absolute;margin-left:544.004883pt;margin-top:8.787314pt;width:21.4pt;height:42.95pt;mso-position-horizontal-relative:page;mso-position-vertical-relative:paragraph;z-index:-18165248" type="#_x0000_t202" filled="false" stroked="false">
            <v:textbox inset="0,0,0,0">
              <w:txbxContent>
                <w:p>
                  <w:pPr>
                    <w:spacing w:line="859" w:lineRule="exact" w:before="0"/>
                    <w:ind w:left="0" w:right="0" w:firstLine="0"/>
                    <w:jc w:val="left"/>
                    <w:rPr>
                      <w:rFonts w:ascii="Arial"/>
                      <w:sz w:val="77"/>
                    </w:rPr>
                  </w:pPr>
                  <w:r>
                    <w:rPr>
                      <w:rFonts w:ascii="Arial"/>
                      <w:color w:val="333333"/>
                      <w:w w:val="99"/>
                      <w:sz w:val="77"/>
                    </w:rPr>
                    <w:t>1</w:t>
                  </w:r>
                </w:p>
              </w:txbxContent>
            </v:textbox>
            <w10:wrap type="none"/>
          </v:shape>
        </w:pict>
      </w:r>
      <w:r>
        <w:rPr>
          <w:color w:val="00A9A9"/>
        </w:rPr>
        <w:t>eprints.walisongo.ac.id</w:t>
      </w:r>
    </w:p>
    <w:p>
      <w:pPr>
        <w:tabs>
          <w:tab w:pos="10510" w:val="left" w:leader="none"/>
        </w:tabs>
        <w:spacing w:line="376" w:lineRule="exact" w:before="0"/>
        <w:ind w:left="1042" w:right="0" w:firstLine="0"/>
        <w:jc w:val="left"/>
        <w:rPr>
          <w:rFonts w:ascii="Arial"/>
          <w:sz w:val="37"/>
        </w:rPr>
      </w:pPr>
      <w:r>
        <w:rPr>
          <w:rFonts w:ascii="Arial"/>
          <w:color w:val="767676"/>
          <w:sz w:val="23"/>
        </w:rPr>
        <w:t>Internet</w:t>
      </w:r>
      <w:r>
        <w:rPr>
          <w:rFonts w:ascii="Arial"/>
          <w:color w:val="767676"/>
          <w:spacing w:val="-3"/>
          <w:sz w:val="23"/>
        </w:rPr>
        <w:t> </w:t>
      </w:r>
      <w:r>
        <w:rPr>
          <w:rFonts w:ascii="Arial"/>
          <w:color w:val="767676"/>
          <w:sz w:val="23"/>
        </w:rPr>
        <w:t>Source</w:t>
        <w:tab/>
      </w:r>
      <w:r>
        <w:rPr>
          <w:rFonts w:ascii="Arial"/>
          <w:color w:val="333333"/>
          <w:position w:val="5"/>
          <w:sz w:val="37"/>
        </w:rPr>
        <w:t>%</w:t>
      </w:r>
    </w:p>
    <w:p>
      <w:pPr>
        <w:pStyle w:val="BodyText"/>
        <w:spacing w:before="5"/>
        <w:rPr>
          <w:rFonts w:ascii="Arial"/>
          <w:sz w:val="22"/>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Heading1"/>
        <w:spacing w:line="367" w:lineRule="exact" w:before="223"/>
      </w:pPr>
      <w:r>
        <w:rPr/>
        <w:pict>
          <v:group style="position:absolute;margin-left:45.996231pt;margin-top:17.44315pt;width:27.7pt;height:28.45pt;mso-position-horizontal-relative:page;mso-position-vertical-relative:paragraph;z-index:15747584" coordorigin="920,349" coordsize="554,569">
            <v:rect style="position:absolute;left:919;top:348;width:554;height:569" filled="true" fillcolor="#00a900" stroked="false">
              <v:fill type="solid"/>
            </v:rect>
            <v:shape style="position:absolute;left:919;top:348;width:554;height:569" type="#_x0000_t202" filled="false" stroked="false">
              <v:textbox inset="0,0,0,0">
                <w:txbxContent>
                  <w:p>
                    <w:pPr>
                      <w:spacing w:before="86"/>
                      <w:ind w:left="176" w:right="0" w:firstLine="0"/>
                      <w:jc w:val="left"/>
                      <w:rPr>
                        <w:rFonts w:ascii="Arial"/>
                        <w:sz w:val="35"/>
                      </w:rPr>
                    </w:pPr>
                    <w:r>
                      <w:rPr>
                        <w:rFonts w:ascii="Arial"/>
                        <w:color w:val="FFFFFF"/>
                        <w:w w:val="101"/>
                        <w:sz w:val="35"/>
                      </w:rPr>
                      <w:t>5</w:t>
                    </w:r>
                  </w:p>
                </w:txbxContent>
              </v:textbox>
              <w10:wrap type="none"/>
            </v:shape>
            <w10:wrap type="none"/>
          </v:group>
        </w:pict>
      </w:r>
      <w:r>
        <w:rPr/>
        <w:pict>
          <v:shape style="position:absolute;margin-left:544.004883pt;margin-top:8.787313pt;width:21.4pt;height:42.95pt;mso-position-horizontal-relative:page;mso-position-vertical-relative:paragraph;z-index:-18164736" type="#_x0000_t202" filled="false" stroked="false">
            <v:textbox inset="0,0,0,0">
              <w:txbxContent>
                <w:p>
                  <w:pPr>
                    <w:spacing w:line="859" w:lineRule="exact" w:before="0"/>
                    <w:ind w:left="0" w:right="0" w:firstLine="0"/>
                    <w:jc w:val="left"/>
                    <w:rPr>
                      <w:rFonts w:ascii="Arial"/>
                      <w:sz w:val="77"/>
                    </w:rPr>
                  </w:pPr>
                  <w:r>
                    <w:rPr>
                      <w:rFonts w:ascii="Arial"/>
                      <w:color w:val="333333"/>
                      <w:w w:val="99"/>
                      <w:sz w:val="77"/>
                    </w:rPr>
                    <w:t>1</w:t>
                  </w:r>
                </w:p>
              </w:txbxContent>
            </v:textbox>
            <w10:wrap type="none"/>
          </v:shape>
        </w:pict>
      </w:r>
      <w:r>
        <w:rPr>
          <w:color w:val="00A900"/>
        </w:rPr>
        <w:t>Submitted to Universitas Pendidikan Indonesia</w:t>
      </w:r>
    </w:p>
    <w:p>
      <w:pPr>
        <w:tabs>
          <w:tab w:pos="10510" w:val="left" w:leader="none"/>
        </w:tabs>
        <w:spacing w:line="376" w:lineRule="exact" w:before="0"/>
        <w:ind w:left="1042" w:right="0" w:firstLine="0"/>
        <w:jc w:val="left"/>
        <w:rPr>
          <w:rFonts w:ascii="Arial"/>
          <w:sz w:val="37"/>
        </w:rPr>
      </w:pPr>
      <w:r>
        <w:rPr>
          <w:rFonts w:ascii="Arial"/>
          <w:color w:val="767676"/>
          <w:sz w:val="23"/>
        </w:rPr>
        <w:t>Student</w:t>
      </w:r>
      <w:r>
        <w:rPr>
          <w:rFonts w:ascii="Arial"/>
          <w:color w:val="767676"/>
          <w:spacing w:val="-3"/>
          <w:sz w:val="23"/>
        </w:rPr>
        <w:t> </w:t>
      </w:r>
      <w:r>
        <w:rPr>
          <w:rFonts w:ascii="Arial"/>
          <w:color w:val="767676"/>
          <w:sz w:val="23"/>
        </w:rPr>
        <w:t>Paper</w:t>
        <w:tab/>
      </w:r>
      <w:r>
        <w:rPr>
          <w:rFonts w:ascii="Arial"/>
          <w:color w:val="333333"/>
          <w:position w:val="5"/>
          <w:sz w:val="37"/>
        </w:rPr>
        <w:t>%</w:t>
      </w:r>
    </w:p>
    <w:p>
      <w:pPr>
        <w:pStyle w:val="BodyText"/>
        <w:spacing w:before="5"/>
        <w:rPr>
          <w:rFonts w:ascii="Arial"/>
          <w:sz w:val="22"/>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Heading1"/>
        <w:spacing w:line="367" w:lineRule="exact" w:before="223"/>
      </w:pPr>
      <w:r>
        <w:rPr/>
        <w:pict>
          <v:group style="position:absolute;margin-left:45.996231pt;margin-top:17.443146pt;width:27.7pt;height:28.45pt;mso-position-horizontal-relative:page;mso-position-vertical-relative:paragraph;z-index:15748608" coordorigin="920,349" coordsize="554,569">
            <v:rect style="position:absolute;left:919;top:348;width:554;height:569" filled="true" fillcolor="#aa6f00" stroked="false">
              <v:fill type="solid"/>
            </v:rect>
            <v:shape style="position:absolute;left:919;top:348;width:554;height:569" type="#_x0000_t202" filled="false" stroked="false">
              <v:textbox inset="0,0,0,0">
                <w:txbxContent>
                  <w:p>
                    <w:pPr>
                      <w:spacing w:before="86"/>
                      <w:ind w:left="176" w:right="0" w:firstLine="0"/>
                      <w:jc w:val="left"/>
                      <w:rPr>
                        <w:rFonts w:ascii="Arial"/>
                        <w:sz w:val="35"/>
                      </w:rPr>
                    </w:pPr>
                    <w:r>
                      <w:rPr>
                        <w:rFonts w:ascii="Arial"/>
                        <w:color w:val="FFFFFF"/>
                        <w:w w:val="101"/>
                        <w:sz w:val="35"/>
                      </w:rPr>
                      <w:t>6</w:t>
                    </w:r>
                  </w:p>
                </w:txbxContent>
              </v:textbox>
              <w10:wrap type="none"/>
            </v:shape>
            <w10:wrap type="none"/>
          </v:group>
        </w:pict>
      </w:r>
      <w:r>
        <w:rPr/>
        <w:pict>
          <v:shape style="position:absolute;margin-left:544.004883pt;margin-top:8.787311pt;width:21.4pt;height:42.95pt;mso-position-horizontal-relative:page;mso-position-vertical-relative:paragraph;z-index:-18164224" type="#_x0000_t202" filled="false" stroked="false">
            <v:textbox inset="0,0,0,0">
              <w:txbxContent>
                <w:p>
                  <w:pPr>
                    <w:spacing w:line="859" w:lineRule="exact" w:before="0"/>
                    <w:ind w:left="0" w:right="0" w:firstLine="0"/>
                    <w:jc w:val="left"/>
                    <w:rPr>
                      <w:rFonts w:ascii="Arial"/>
                      <w:sz w:val="77"/>
                    </w:rPr>
                  </w:pPr>
                  <w:r>
                    <w:rPr>
                      <w:rFonts w:ascii="Arial"/>
                      <w:color w:val="333333"/>
                      <w:w w:val="99"/>
                      <w:sz w:val="77"/>
                    </w:rPr>
                    <w:t>1</w:t>
                  </w:r>
                </w:p>
              </w:txbxContent>
            </v:textbox>
            <w10:wrap type="none"/>
          </v:shape>
        </w:pict>
      </w:r>
      <w:r>
        <w:rPr>
          <w:color w:val="AA6F00"/>
        </w:rPr>
        <w:t>Submitted to Universitas Muria Kudus</w:t>
      </w:r>
    </w:p>
    <w:p>
      <w:pPr>
        <w:tabs>
          <w:tab w:pos="10510" w:val="left" w:leader="none"/>
        </w:tabs>
        <w:spacing w:line="376" w:lineRule="exact" w:before="0"/>
        <w:ind w:left="1042" w:right="0" w:firstLine="0"/>
        <w:jc w:val="left"/>
        <w:rPr>
          <w:rFonts w:ascii="Arial"/>
          <w:sz w:val="37"/>
        </w:rPr>
      </w:pPr>
      <w:r>
        <w:rPr>
          <w:rFonts w:ascii="Arial"/>
          <w:color w:val="767676"/>
          <w:sz w:val="23"/>
        </w:rPr>
        <w:t>Student</w:t>
      </w:r>
      <w:r>
        <w:rPr>
          <w:rFonts w:ascii="Arial"/>
          <w:color w:val="767676"/>
          <w:spacing w:val="-3"/>
          <w:sz w:val="23"/>
        </w:rPr>
        <w:t> </w:t>
      </w:r>
      <w:r>
        <w:rPr>
          <w:rFonts w:ascii="Arial"/>
          <w:color w:val="767676"/>
          <w:sz w:val="23"/>
        </w:rPr>
        <w:t>Paper</w:t>
        <w:tab/>
      </w:r>
      <w:r>
        <w:rPr>
          <w:rFonts w:ascii="Arial"/>
          <w:color w:val="333333"/>
          <w:position w:val="5"/>
          <w:sz w:val="37"/>
        </w:rPr>
        <w:t>%</w:t>
      </w:r>
    </w:p>
    <w:p>
      <w:pPr>
        <w:pStyle w:val="BodyText"/>
        <w:spacing w:before="5"/>
        <w:rPr>
          <w:rFonts w:ascii="Arial"/>
          <w:sz w:val="22"/>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Heading1"/>
        <w:spacing w:line="367" w:lineRule="exact" w:before="223"/>
      </w:pPr>
      <w:r>
        <w:rPr/>
        <w:pict>
          <v:group style="position:absolute;margin-left:45.996231pt;margin-top:17.443144pt;width:27.7pt;height:28.45pt;mso-position-horizontal-relative:page;mso-position-vertical-relative:paragraph;z-index:15749632" coordorigin="920,349" coordsize="554,569">
            <v:rect style="position:absolute;left:919;top:348;width:554;height:569" filled="true" fillcolor="#792d05" stroked="false">
              <v:fill type="solid"/>
            </v:rect>
            <v:shape style="position:absolute;left:919;top:348;width:554;height:569" type="#_x0000_t202" filled="false" stroked="false">
              <v:textbox inset="0,0,0,0">
                <w:txbxContent>
                  <w:p>
                    <w:pPr>
                      <w:spacing w:before="86"/>
                      <w:ind w:left="176" w:right="0" w:firstLine="0"/>
                      <w:jc w:val="left"/>
                      <w:rPr>
                        <w:rFonts w:ascii="Arial"/>
                        <w:sz w:val="35"/>
                      </w:rPr>
                    </w:pPr>
                    <w:r>
                      <w:rPr>
                        <w:rFonts w:ascii="Arial"/>
                        <w:color w:val="FFFFFF"/>
                        <w:w w:val="101"/>
                        <w:sz w:val="35"/>
                      </w:rPr>
                      <w:t>7</w:t>
                    </w:r>
                  </w:p>
                </w:txbxContent>
              </v:textbox>
              <w10:wrap type="none"/>
            </v:shape>
            <w10:wrap type="none"/>
          </v:group>
        </w:pict>
      </w:r>
      <w:r>
        <w:rPr/>
        <w:pict>
          <v:shape style="position:absolute;margin-left:544.004883pt;margin-top:8.787309pt;width:21.4pt;height:42.95pt;mso-position-horizontal-relative:page;mso-position-vertical-relative:paragraph;z-index:-18163712" type="#_x0000_t202" filled="false" stroked="false">
            <v:textbox inset="0,0,0,0">
              <w:txbxContent>
                <w:p>
                  <w:pPr>
                    <w:spacing w:line="859" w:lineRule="exact" w:before="0"/>
                    <w:ind w:left="0" w:right="0" w:firstLine="0"/>
                    <w:jc w:val="left"/>
                    <w:rPr>
                      <w:rFonts w:ascii="Arial"/>
                      <w:sz w:val="77"/>
                    </w:rPr>
                  </w:pPr>
                  <w:r>
                    <w:rPr>
                      <w:rFonts w:ascii="Arial"/>
                      <w:color w:val="333333"/>
                      <w:w w:val="99"/>
                      <w:sz w:val="77"/>
                    </w:rPr>
                    <w:t>1</w:t>
                  </w:r>
                </w:p>
              </w:txbxContent>
            </v:textbox>
            <w10:wrap type="none"/>
          </v:shape>
        </w:pict>
      </w:r>
      <w:r>
        <w:rPr>
          <w:color w:val="792D05"/>
        </w:rPr>
        <w:t>eprints.undip.ac.id</w:t>
      </w:r>
    </w:p>
    <w:p>
      <w:pPr>
        <w:tabs>
          <w:tab w:pos="10510" w:val="left" w:leader="none"/>
        </w:tabs>
        <w:spacing w:line="376" w:lineRule="exact" w:before="0"/>
        <w:ind w:left="1042" w:right="0" w:firstLine="0"/>
        <w:jc w:val="left"/>
        <w:rPr>
          <w:rFonts w:ascii="Arial"/>
          <w:sz w:val="37"/>
        </w:rPr>
      </w:pPr>
      <w:r>
        <w:rPr>
          <w:rFonts w:ascii="Arial"/>
          <w:color w:val="767676"/>
          <w:sz w:val="23"/>
        </w:rPr>
        <w:t>Internet</w:t>
      </w:r>
      <w:r>
        <w:rPr>
          <w:rFonts w:ascii="Arial"/>
          <w:color w:val="767676"/>
          <w:spacing w:val="-3"/>
          <w:sz w:val="23"/>
        </w:rPr>
        <w:t> </w:t>
      </w:r>
      <w:r>
        <w:rPr>
          <w:rFonts w:ascii="Arial"/>
          <w:color w:val="767676"/>
          <w:sz w:val="23"/>
        </w:rPr>
        <w:t>Source</w:t>
        <w:tab/>
      </w:r>
      <w:r>
        <w:rPr>
          <w:rFonts w:ascii="Arial"/>
          <w:color w:val="333333"/>
          <w:position w:val="5"/>
          <w:sz w:val="37"/>
        </w:rPr>
        <w:t>%</w:t>
      </w:r>
    </w:p>
    <w:p>
      <w:pPr>
        <w:pStyle w:val="BodyText"/>
        <w:spacing w:before="5"/>
        <w:rPr>
          <w:rFonts w:ascii="Arial"/>
          <w:sz w:val="22"/>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Heading1"/>
        <w:spacing w:line="367" w:lineRule="exact" w:before="223"/>
      </w:pPr>
      <w:r>
        <w:rPr/>
        <w:pict>
          <v:group style="position:absolute;margin-left:45.996231pt;margin-top:17.443144pt;width:27.7pt;height:28.45pt;mso-position-horizontal-relative:page;mso-position-vertical-relative:paragraph;z-index:15750656" coordorigin="920,349" coordsize="554,569">
            <v:rect style="position:absolute;left:919;top:348;width:554;height:569" filled="true" fillcolor="#054679" stroked="false">
              <v:fill type="solid"/>
            </v:rect>
            <v:shape style="position:absolute;left:919;top:348;width:554;height:569" type="#_x0000_t202" filled="false" stroked="false">
              <v:textbox inset="0,0,0,0">
                <w:txbxContent>
                  <w:p>
                    <w:pPr>
                      <w:spacing w:before="86"/>
                      <w:ind w:left="176" w:right="0" w:firstLine="0"/>
                      <w:jc w:val="left"/>
                      <w:rPr>
                        <w:rFonts w:ascii="Arial"/>
                        <w:sz w:val="35"/>
                      </w:rPr>
                    </w:pPr>
                    <w:r>
                      <w:rPr>
                        <w:rFonts w:ascii="Arial"/>
                        <w:color w:val="FFFFFF"/>
                        <w:w w:val="101"/>
                        <w:sz w:val="35"/>
                      </w:rPr>
                      <w:t>8</w:t>
                    </w:r>
                  </w:p>
                </w:txbxContent>
              </v:textbox>
              <w10:wrap type="none"/>
            </v:shape>
            <w10:wrap type="none"/>
          </v:group>
        </w:pict>
      </w:r>
      <w:r>
        <w:rPr/>
        <w:pict>
          <v:shape style="position:absolute;margin-left:544.004883pt;margin-top:8.787311pt;width:21.4pt;height:42.95pt;mso-position-horizontal-relative:page;mso-position-vertical-relative:paragraph;z-index:-18163200" type="#_x0000_t202" filled="false" stroked="false">
            <v:textbox inset="0,0,0,0">
              <w:txbxContent>
                <w:p>
                  <w:pPr>
                    <w:spacing w:line="859" w:lineRule="exact" w:before="0"/>
                    <w:ind w:left="0" w:right="0" w:firstLine="0"/>
                    <w:jc w:val="left"/>
                    <w:rPr>
                      <w:rFonts w:ascii="Arial"/>
                      <w:sz w:val="77"/>
                    </w:rPr>
                  </w:pPr>
                  <w:r>
                    <w:rPr>
                      <w:rFonts w:ascii="Arial"/>
                      <w:color w:val="333333"/>
                      <w:w w:val="99"/>
                      <w:sz w:val="77"/>
                    </w:rPr>
                    <w:t>1</w:t>
                  </w:r>
                </w:p>
              </w:txbxContent>
            </v:textbox>
            <w10:wrap type="none"/>
          </v:shape>
        </w:pict>
      </w:r>
      <w:r>
        <w:rPr>
          <w:color w:val="054679"/>
        </w:rPr>
        <w:t>repository.unhas.ac.id</w:t>
      </w:r>
    </w:p>
    <w:p>
      <w:pPr>
        <w:tabs>
          <w:tab w:pos="10510" w:val="left" w:leader="none"/>
        </w:tabs>
        <w:spacing w:line="376" w:lineRule="exact" w:before="0"/>
        <w:ind w:left="1042" w:right="0" w:firstLine="0"/>
        <w:jc w:val="left"/>
        <w:rPr>
          <w:rFonts w:ascii="Arial"/>
          <w:sz w:val="37"/>
        </w:rPr>
      </w:pPr>
      <w:r>
        <w:rPr>
          <w:rFonts w:ascii="Arial"/>
          <w:color w:val="767676"/>
          <w:sz w:val="23"/>
        </w:rPr>
        <w:t>Internet</w:t>
      </w:r>
      <w:r>
        <w:rPr>
          <w:rFonts w:ascii="Arial"/>
          <w:color w:val="767676"/>
          <w:spacing w:val="-3"/>
          <w:sz w:val="23"/>
        </w:rPr>
        <w:t> </w:t>
      </w:r>
      <w:r>
        <w:rPr>
          <w:rFonts w:ascii="Arial"/>
          <w:color w:val="767676"/>
          <w:sz w:val="23"/>
        </w:rPr>
        <w:t>Source</w:t>
        <w:tab/>
      </w:r>
      <w:r>
        <w:rPr>
          <w:rFonts w:ascii="Arial"/>
          <w:color w:val="333333"/>
          <w:position w:val="5"/>
          <w:sz w:val="37"/>
        </w:rPr>
        <w:t>%</w:t>
      </w:r>
    </w:p>
    <w:p>
      <w:pPr>
        <w:spacing w:after="0" w:line="376" w:lineRule="exact"/>
        <w:jc w:val="left"/>
        <w:rPr>
          <w:rFonts w:ascii="Arial"/>
          <w:sz w:val="37"/>
        </w:rPr>
        <w:sectPr>
          <w:type w:val="continuous"/>
          <w:pgSz w:w="12240" w:h="15840"/>
          <w:pgMar w:top="1580" w:bottom="280" w:left="800" w:right="500"/>
        </w:sectPr>
      </w:pPr>
    </w:p>
    <w:p>
      <w:pPr>
        <w:pStyle w:val="Heading1"/>
        <w:spacing w:before="246"/>
      </w:pPr>
      <w:r>
        <w:rPr/>
        <w:pict>
          <v:group style="position:absolute;margin-left:45.996231pt;margin-top:18.593128pt;width:27.7pt;height:28.45pt;mso-position-horizontal-relative:page;mso-position-vertical-relative:paragraph;z-index:15761920" coordorigin="920,372" coordsize="554,569">
            <v:rect style="position:absolute;left:919;top:371;width:554;height:569" filled="true" fillcolor="#993399" stroked="false">
              <v:fill type="solid"/>
            </v:rect>
            <v:shape style="position:absolute;left:919;top:371;width:554;height:569" type="#_x0000_t202" filled="false" stroked="false">
              <v:textbox inset="0,0,0,0">
                <w:txbxContent>
                  <w:p>
                    <w:pPr>
                      <w:spacing w:before="86"/>
                      <w:ind w:left="176" w:right="0" w:firstLine="0"/>
                      <w:jc w:val="left"/>
                      <w:rPr>
                        <w:rFonts w:ascii="Arial"/>
                        <w:sz w:val="35"/>
                      </w:rPr>
                    </w:pPr>
                    <w:r>
                      <w:rPr>
                        <w:rFonts w:ascii="Arial"/>
                        <w:color w:val="FFFFFF"/>
                        <w:w w:val="101"/>
                        <w:sz w:val="35"/>
                      </w:rPr>
                      <w:t>9</w:t>
                    </w:r>
                  </w:p>
                </w:txbxContent>
              </v:textbox>
              <w10:wrap type="none"/>
            </v:shape>
            <w10:wrap type="none"/>
          </v:group>
        </w:pict>
      </w:r>
      <w:r>
        <w:rPr>
          <w:color w:val="993399"/>
        </w:rPr>
        <w:t>ejournal.stienusa.ac.id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71pt;width:27.7pt;height:28.45pt;mso-position-horizontal-relative:page;mso-position-vertical-relative:paragraph;z-index:15762944" coordorigin="920,329" coordsize="554,569">
            <v:rect style="position:absolute;left:919;top:328;width:554;height:569" filled="true" fillcolor="#4d7501"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10</w:t>
                    </w:r>
                  </w:p>
                </w:txbxContent>
              </v:textbox>
              <w10:wrap type="none"/>
            </v:shape>
            <w10:wrap type="none"/>
          </v:group>
        </w:pict>
      </w:r>
      <w:r>
        <w:rPr>
          <w:color w:val="4D7501"/>
        </w:rPr>
        <w:t>cahyaniyulia.blogspot.com</w:t>
      </w:r>
    </w:p>
    <w:p>
      <w:pPr>
        <w:spacing w:before="41"/>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53pt;width:27.7pt;height:28.45pt;mso-position-horizontal-relative:page;mso-position-vertical-relative:paragraph;z-index:15763968" coordorigin="920,329" coordsize="554,569">
            <v:rect style="position:absolute;left:919;top:328;width:554;height:569" filled="true" fillcolor="#221c9a"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11</w:t>
                    </w:r>
                  </w:p>
                </w:txbxContent>
              </v:textbox>
              <w10:wrap type="none"/>
            </v:shape>
            <w10:wrap type="none"/>
          </v:group>
        </w:pict>
      </w:r>
      <w:r>
        <w:rPr>
          <w:color w:val="221C9A"/>
        </w:rPr>
        <w:t>repository.unib.ac.id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34pt;width:27.7pt;height:28.45pt;mso-position-horizontal-relative:page;mso-position-vertical-relative:paragraph;z-index:15764992" coordorigin="920,329" coordsize="554,569">
            <v:rect style="position:absolute;left:919;top:328;width:554;height:569" filled="true" fillcolor="#0063d0"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12</w:t>
                    </w:r>
                  </w:p>
                </w:txbxContent>
              </v:textbox>
              <w10:wrap type="none"/>
            </v:shape>
            <w10:wrap type="none"/>
          </v:group>
        </w:pict>
      </w:r>
      <w:r>
        <w:rPr>
          <w:color w:val="0063D0"/>
        </w:rPr>
        <w:t>lib.unnes.ac.id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spacing w:before="202"/>
      </w:pPr>
      <w:r>
        <w:rPr/>
        <w:pict>
          <v:group style="position:absolute;margin-left:45.996231pt;margin-top:16.393147pt;width:27.7pt;height:28.45pt;mso-position-horizontal-relative:page;mso-position-vertical-relative:paragraph;z-index:15766016" coordorigin="920,328" coordsize="554,569">
            <v:rect style="position:absolute;left:919;top:327;width:554;height:569" filled="true" fillcolor="#ff0000" stroked="false">
              <v:fill type="solid"/>
            </v:rect>
            <v:shape style="position:absolute;left:919;top:327;width:554;height:569" type="#_x0000_t202" filled="false" stroked="false">
              <v:textbox inset="0,0,0,0">
                <w:txbxContent>
                  <w:p>
                    <w:pPr>
                      <w:spacing w:before="86"/>
                      <w:ind w:left="76" w:right="0" w:firstLine="0"/>
                      <w:jc w:val="left"/>
                      <w:rPr>
                        <w:rFonts w:ascii="Arial"/>
                        <w:sz w:val="35"/>
                      </w:rPr>
                    </w:pPr>
                    <w:r>
                      <w:rPr>
                        <w:rFonts w:ascii="Arial"/>
                        <w:color w:val="FFFFFF"/>
                        <w:sz w:val="35"/>
                      </w:rPr>
                      <w:t>13</w:t>
                    </w:r>
                  </w:p>
                </w:txbxContent>
              </v:textbox>
              <w10:wrap type="none"/>
            </v:shape>
            <w10:wrap type="none"/>
          </v:group>
        </w:pict>
      </w:r>
      <w:r>
        <w:rPr>
          <w:color w:val="FF0000"/>
        </w:rPr>
        <w:t>repository.usu.ac.id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29pt;width:27.7pt;height:28.45pt;mso-position-horizontal-relative:page;mso-position-vertical-relative:paragraph;z-index:15767040" coordorigin="920,329" coordsize="554,569">
            <v:rect style="position:absolute;left:919;top:328;width:554;height:569" filled="true" fillcolor="#e70bd6"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14</w:t>
                    </w:r>
                  </w:p>
                </w:txbxContent>
              </v:textbox>
              <w10:wrap type="none"/>
            </v:shape>
            <w10:wrap type="none"/>
          </v:group>
        </w:pict>
      </w:r>
      <w:r>
        <w:rPr>
          <w:color w:val="E70BD6"/>
        </w:rPr>
        <w:t>openjournal.unpam.ac.id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42pt;width:27.7pt;height:28.45pt;mso-position-horizontal-relative:page;mso-position-vertical-relative:paragraph;z-index:15768064" coordorigin="920,329" coordsize="554,569">
            <v:rect style="position:absolute;left:919;top:328;width:554;height:569" filled="true" fillcolor="#8b05ff"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15</w:t>
                    </w:r>
                  </w:p>
                </w:txbxContent>
              </v:textbox>
              <w10:wrap type="none"/>
            </v:shape>
            <w10:wrap type="none"/>
          </v:group>
        </w:pict>
      </w:r>
      <w:r>
        <w:rPr>
          <w:color w:val="8B05FF"/>
        </w:rPr>
        <w:t>es.scribd.com</w:t>
      </w:r>
    </w:p>
    <w:p>
      <w:pPr>
        <w:spacing w:before="41"/>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23pt;width:27.7pt;height:28.45pt;mso-position-horizontal-relative:page;mso-position-vertical-relative:paragraph;z-index:15769088" coordorigin="920,329" coordsize="554,569">
            <v:rect style="position:absolute;left:919;top:328;width:554;height:569" filled="true" fillcolor="#00a9a9"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16</w:t>
                    </w:r>
                  </w:p>
                </w:txbxContent>
              </v:textbox>
              <w10:wrap type="none"/>
            </v:shape>
            <w10:wrap type="none"/>
          </v:group>
        </w:pict>
      </w:r>
      <w:r>
        <w:rPr>
          <w:color w:val="00A9A9"/>
        </w:rPr>
        <w:t>nadyaputriridwan.blogspot.com</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36pt;width:27.7pt;height:28.45pt;mso-position-horizontal-relative:page;mso-position-vertical-relative:paragraph;z-index:15770112" coordorigin="920,329" coordsize="554,569">
            <v:rect style="position:absolute;left:919;top:328;width:554;height:569" filled="true" fillcolor="#00a900"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17</w:t>
                    </w:r>
                  </w:p>
                </w:txbxContent>
              </v:textbox>
              <w10:wrap type="none"/>
            </v:shape>
            <w10:wrap type="none"/>
          </v:group>
        </w:pict>
      </w:r>
      <w:r>
        <w:rPr>
          <w:color w:val="00A900"/>
        </w:rPr>
        <w:t>vdocuments.site</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spacing w:before="202"/>
      </w:pPr>
      <w:r>
        <w:rPr/>
        <w:pict>
          <v:group style="position:absolute;margin-left:45.996231pt;margin-top:16.393133pt;width:27.7pt;height:28.45pt;mso-position-horizontal-relative:page;mso-position-vertical-relative:paragraph;z-index:15771136" coordorigin="920,328" coordsize="554,569">
            <v:rect style="position:absolute;left:919;top:327;width:554;height:569" filled="true" fillcolor="#aa6f00" stroked="false">
              <v:fill type="solid"/>
            </v:rect>
            <v:shape style="position:absolute;left:919;top:327;width:554;height:569" type="#_x0000_t202" filled="false" stroked="false">
              <v:textbox inset="0,0,0,0">
                <w:txbxContent>
                  <w:p>
                    <w:pPr>
                      <w:spacing w:before="86"/>
                      <w:ind w:left="76" w:right="0" w:firstLine="0"/>
                      <w:jc w:val="left"/>
                      <w:rPr>
                        <w:rFonts w:ascii="Arial"/>
                        <w:sz w:val="35"/>
                      </w:rPr>
                    </w:pPr>
                    <w:r>
                      <w:rPr>
                        <w:rFonts w:ascii="Arial"/>
                        <w:color w:val="FFFFFF"/>
                        <w:sz w:val="35"/>
                      </w:rPr>
                      <w:t>18</w:t>
                    </w:r>
                  </w:p>
                </w:txbxContent>
              </v:textbox>
              <w10:wrap type="none"/>
            </v:shape>
            <w10:wrap type="none"/>
          </v:group>
        </w:pict>
      </w:r>
      <w:r>
        <w:rPr>
          <w:color w:val="AA6F00"/>
        </w:rPr>
        <w:t>library.um.ac.id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3pt;width:27.7pt;height:28.45pt;mso-position-horizontal-relative:page;mso-position-vertical-relative:paragraph;z-index:15772160" coordorigin="920,329" coordsize="554,569">
            <v:rect style="position:absolute;left:919;top:328;width:554;height:569" filled="true" fillcolor="#792d05"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19</w:t>
                    </w:r>
                  </w:p>
                </w:txbxContent>
              </v:textbox>
              <w10:wrap type="none"/>
            </v:shape>
            <w10:wrap type="none"/>
          </v:group>
        </w:pict>
      </w:r>
      <w:r>
        <w:rPr>
          <w:color w:val="792D05"/>
        </w:rPr>
        <w:t>Submitted to Sriwijaya University</w:t>
      </w:r>
    </w:p>
    <w:p>
      <w:pPr>
        <w:spacing w:before="42"/>
        <w:ind w:left="1042" w:right="0" w:firstLine="0"/>
        <w:jc w:val="left"/>
        <w:rPr>
          <w:rFonts w:ascii="Arial"/>
          <w:sz w:val="23"/>
        </w:rPr>
      </w:pPr>
      <w:r>
        <w:rPr>
          <w:rFonts w:ascii="Arial"/>
          <w:color w:val="767676"/>
          <w:sz w:val="23"/>
        </w:rPr>
        <w:t>Student Paper</w:t>
      </w:r>
    </w:p>
    <w:p>
      <w:pPr>
        <w:pStyle w:val="BodyText"/>
        <w:rPr>
          <w:rFonts w:ascii="Arial"/>
          <w:sz w:val="26"/>
        </w:rPr>
      </w:pPr>
    </w:p>
    <w:p>
      <w:pPr>
        <w:pStyle w:val="Heading1"/>
      </w:pPr>
      <w:r>
        <w:rPr/>
        <w:pict>
          <v:rect style="position:absolute;margin-left:34.468254pt;margin-top:-2.001633pt;width:547.194684pt;height:.768532pt;mso-position-horizontal-relative:page;mso-position-vertical-relative:paragraph;z-index:-18157056" filled="true" fillcolor="#999999" stroked="false">
            <v:fill type="solid"/>
            <w10:wrap type="none"/>
          </v:rect>
        </w:pict>
      </w:r>
      <w:r>
        <w:rPr/>
        <w:pict>
          <v:group style="position:absolute;margin-left:45.996231pt;margin-top:16.44313pt;width:27.7pt;height:28.45pt;mso-position-horizontal-relative:page;mso-position-vertical-relative:paragraph;z-index:15773184" coordorigin="920,329" coordsize="554,569">
            <v:rect style="position:absolute;left:919;top:328;width:554;height:569" filled="true" fillcolor="#054679"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20</w:t>
                    </w:r>
                  </w:p>
                </w:txbxContent>
              </v:textbox>
              <w10:wrap type="none"/>
            </v:shape>
            <w10:wrap type="none"/>
          </v:group>
        </w:pict>
      </w:r>
      <w:r>
        <w:rPr>
          <w:color w:val="054679"/>
        </w:rPr>
        <w:t>konsultasiskripsi.com</w:t>
      </w:r>
    </w:p>
    <w:p>
      <w:pPr>
        <w:spacing w:before="172"/>
        <w:ind w:left="0" w:right="99" w:firstLine="0"/>
        <w:jc w:val="right"/>
        <w:rPr>
          <w:rFonts w:ascii="Arial"/>
          <w:sz w:val="37"/>
        </w:rPr>
      </w:pPr>
      <w:r>
        <w:rPr/>
        <w:br w:type="column"/>
      </w:r>
      <w:r>
        <w:rPr>
          <w:rFonts w:ascii="Arial"/>
          <w:color w:val="333333"/>
          <w:spacing w:val="2"/>
          <w:w w:val="99"/>
          <w:sz w:val="77"/>
        </w:rPr>
        <w:t>1</w:t>
      </w:r>
      <w:r>
        <w:rPr>
          <w:rFonts w:ascii="Arial"/>
          <w:color w:val="333333"/>
          <w:w w:val="99"/>
          <w:sz w:val="37"/>
        </w:rPr>
        <w:t>%</w:t>
      </w:r>
    </w:p>
    <w:p>
      <w:pPr>
        <w:spacing w:before="360"/>
        <w:ind w:left="0" w:right="99" w:firstLine="0"/>
        <w:jc w:val="right"/>
        <w:rPr>
          <w:rFonts w:ascii="Arial"/>
          <w:sz w:val="37"/>
        </w:rPr>
      </w:pPr>
      <w:r>
        <w:rPr/>
        <w:pict>
          <v:rect style="position:absolute;margin-left:34.468254pt;margin-top:-52.714016pt;width:547.194684pt;height:.768532pt;mso-position-horizontal-relative:page;mso-position-vertical-relative:paragraph;z-index:15755264" filled="true" fillcolor="#999999" stroked="false">
            <v:fill type="solid"/>
            <w10:wrap type="none"/>
          </v:rect>
        </w:pict>
      </w:r>
      <w:r>
        <w:rPr/>
        <w:pict>
          <v:rect style="position:absolute;margin-left:34.468254pt;margin-top:9.537066pt;width:547.194684pt;height:.768532pt;mso-position-horizontal-relative:page;mso-position-vertical-relative:paragraph;z-index:-18162176" filled="true" fillcolor="#999999" stroked="false">
            <v:fill type="solid"/>
            <w10:wrap type="none"/>
          </v:rect>
        </w:pict>
      </w:r>
      <w:r>
        <w:rPr>
          <w:rFonts w:ascii="Arial"/>
          <w:color w:val="333333"/>
          <w:spacing w:val="2"/>
          <w:w w:val="99"/>
          <w:sz w:val="77"/>
        </w:rPr>
        <w:t>1</w:t>
      </w:r>
      <w:r>
        <w:rPr>
          <w:rFonts w:ascii="Arial"/>
          <w:color w:val="333333"/>
          <w:w w:val="99"/>
          <w:sz w:val="37"/>
        </w:rPr>
        <w:t>%</w:t>
      </w:r>
    </w:p>
    <w:p>
      <w:pPr>
        <w:spacing w:before="359"/>
        <w:ind w:left="0" w:right="99" w:firstLine="0"/>
        <w:jc w:val="right"/>
        <w:rPr>
          <w:rFonts w:ascii="Arial"/>
          <w:sz w:val="37"/>
        </w:rPr>
      </w:pPr>
      <w:r>
        <w:rPr/>
        <w:pict>
          <v:rect style="position:absolute;margin-left:34.468254pt;margin-top:9.487047pt;width:547.194684pt;height:.768532pt;mso-position-horizontal-relative:page;mso-position-vertical-relative:paragraph;z-index:15756288" filled="true" fillcolor="#999999" stroked="false">
            <v:fill type="solid"/>
            <w10:wrap type="none"/>
          </v:rect>
        </w:pict>
      </w:r>
      <w:r>
        <w:rPr>
          <w:rFonts w:ascii="Arial"/>
          <w:color w:val="333333"/>
          <w:spacing w:val="2"/>
          <w:w w:val="99"/>
          <w:sz w:val="77"/>
        </w:rPr>
        <w:t>1</w:t>
      </w:r>
      <w:r>
        <w:rPr>
          <w:rFonts w:ascii="Arial"/>
          <w:color w:val="333333"/>
          <w:w w:val="99"/>
          <w:sz w:val="37"/>
        </w:rPr>
        <w:t>%</w:t>
      </w:r>
    </w:p>
    <w:p>
      <w:pPr>
        <w:spacing w:before="360"/>
        <w:ind w:left="0" w:right="99" w:firstLine="0"/>
        <w:jc w:val="right"/>
        <w:rPr>
          <w:rFonts w:ascii="Arial"/>
          <w:sz w:val="37"/>
        </w:rPr>
      </w:pPr>
      <w:r>
        <w:rPr/>
        <w:pict>
          <v:rect style="position:absolute;margin-left:34.468254pt;margin-top:9.537029pt;width:547.194684pt;height:.768532pt;mso-position-horizontal-relative:page;mso-position-vertical-relative:paragraph;z-index:15756800" filled="true" fillcolor="#999999" stroked="false">
            <v:fill type="solid"/>
            <w10:wrap type="none"/>
          </v:rect>
        </w:pict>
      </w:r>
      <w:r>
        <w:rPr>
          <w:rFonts w:ascii="Arial"/>
          <w:color w:val="333333"/>
          <w:spacing w:val="2"/>
          <w:w w:val="99"/>
          <w:sz w:val="77"/>
        </w:rPr>
        <w:t>1</w:t>
      </w:r>
      <w:r>
        <w:rPr>
          <w:rFonts w:ascii="Arial"/>
          <w:color w:val="333333"/>
          <w:w w:val="99"/>
          <w:sz w:val="37"/>
        </w:rPr>
        <w:t>%</w:t>
      </w:r>
    </w:p>
    <w:p>
      <w:pPr>
        <w:spacing w:before="360"/>
        <w:ind w:left="0" w:right="99" w:firstLine="0"/>
        <w:jc w:val="right"/>
        <w:rPr>
          <w:rFonts w:ascii="Arial"/>
          <w:sz w:val="37"/>
        </w:rPr>
      </w:pPr>
      <w:r>
        <w:rPr/>
        <w:pict>
          <v:rect style="position:absolute;margin-left:34.468254pt;margin-top:9.537042pt;width:547.194684pt;height:.768532pt;mso-position-horizontal-relative:page;mso-position-vertical-relative:paragraph;z-index:-18160640" filled="true" fillcolor="#999999" stroked="false">
            <v:fill type="solid"/>
            <w10:wrap type="none"/>
          </v:rect>
        </w:pict>
      </w:r>
      <w:r>
        <w:rPr>
          <w:rFonts w:ascii="Arial"/>
          <w:color w:val="333333"/>
          <w:spacing w:val="2"/>
          <w:w w:val="99"/>
          <w:sz w:val="77"/>
        </w:rPr>
        <w:t>1</w:t>
      </w:r>
      <w:r>
        <w:rPr>
          <w:rFonts w:ascii="Arial"/>
          <w:color w:val="333333"/>
          <w:w w:val="99"/>
          <w:sz w:val="37"/>
        </w:rPr>
        <w:t>%</w:t>
      </w:r>
    </w:p>
    <w:p>
      <w:pPr>
        <w:spacing w:before="359"/>
        <w:ind w:left="0" w:right="99" w:firstLine="0"/>
        <w:jc w:val="right"/>
        <w:rPr>
          <w:rFonts w:ascii="Arial"/>
          <w:sz w:val="37"/>
        </w:rPr>
      </w:pPr>
      <w:r>
        <w:rPr/>
        <w:pict>
          <v:rect style="position:absolute;margin-left:34.468254pt;margin-top:9.487024pt;width:547.194684pt;height:.768532pt;mso-position-horizontal-relative:page;mso-position-vertical-relative:paragraph;z-index:15757824" filled="true" fillcolor="#999999" stroked="false">
            <v:fill type="solid"/>
            <w10:wrap type="none"/>
          </v:rect>
        </w:pict>
      </w:r>
      <w:r>
        <w:rPr>
          <w:rFonts w:ascii="Arial"/>
          <w:color w:val="333333"/>
          <w:spacing w:val="2"/>
          <w:w w:val="99"/>
          <w:sz w:val="77"/>
        </w:rPr>
        <w:t>1</w:t>
      </w:r>
      <w:r>
        <w:rPr>
          <w:rFonts w:ascii="Arial"/>
          <w:color w:val="333333"/>
          <w:w w:val="99"/>
          <w:sz w:val="37"/>
        </w:rPr>
        <w:t>%</w:t>
      </w:r>
    </w:p>
    <w:p>
      <w:pPr>
        <w:spacing w:before="360"/>
        <w:ind w:left="0" w:right="99" w:firstLine="0"/>
        <w:jc w:val="right"/>
        <w:rPr>
          <w:rFonts w:ascii="Arial"/>
          <w:sz w:val="37"/>
        </w:rPr>
      </w:pPr>
      <w:r>
        <w:rPr/>
        <w:pict>
          <v:rect style="position:absolute;margin-left:34.468254pt;margin-top:9.537036pt;width:547.194684pt;height:.768532pt;mso-position-horizontal-relative:page;mso-position-vertical-relative:paragraph;z-index:-18159616" filled="true" fillcolor="#999999" stroked="false">
            <v:fill type="solid"/>
            <w10:wrap type="none"/>
          </v:rect>
        </w:pict>
      </w:r>
      <w:r>
        <w:rPr>
          <w:rFonts w:ascii="Arial"/>
          <w:color w:val="333333"/>
          <w:spacing w:val="2"/>
          <w:w w:val="99"/>
          <w:sz w:val="77"/>
        </w:rPr>
        <w:t>1</w:t>
      </w:r>
      <w:r>
        <w:rPr>
          <w:rFonts w:ascii="Arial"/>
          <w:color w:val="333333"/>
          <w:w w:val="99"/>
          <w:sz w:val="37"/>
        </w:rPr>
        <w:t>%</w:t>
      </w:r>
    </w:p>
    <w:p>
      <w:pPr>
        <w:spacing w:before="359"/>
        <w:ind w:left="0" w:right="99" w:firstLine="0"/>
        <w:jc w:val="right"/>
        <w:rPr>
          <w:rFonts w:ascii="Arial"/>
          <w:sz w:val="37"/>
        </w:rPr>
      </w:pPr>
      <w:r>
        <w:rPr/>
        <w:pict>
          <v:rect style="position:absolute;margin-left:34.468254pt;margin-top:9.487049pt;width:547.194684pt;height:.768532pt;mso-position-horizontal-relative:page;mso-position-vertical-relative:paragraph;z-index:15758848"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0" w:right="99" w:firstLine="0"/>
        <w:jc w:val="right"/>
        <w:rPr>
          <w:rFonts w:ascii="Arial"/>
          <w:sz w:val="37"/>
        </w:rPr>
      </w:pPr>
      <w:r>
        <w:rPr/>
        <w:pict>
          <v:rect style="position:absolute;margin-left:34.468254pt;margin-top:9.537031pt;width:547.194684pt;height:.768532pt;mso-position-horizontal-relative:page;mso-position-vertical-relative:paragraph;z-index:15759360"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0" w:right="99" w:firstLine="0"/>
        <w:jc w:val="right"/>
        <w:rPr>
          <w:rFonts w:ascii="Arial"/>
          <w:sz w:val="37"/>
        </w:rPr>
      </w:pPr>
      <w:r>
        <w:rPr/>
        <w:pict>
          <v:rect style="position:absolute;margin-left:34.468254pt;margin-top:9.537028pt;width:547.194684pt;height:.768532pt;mso-position-horizontal-relative:page;mso-position-vertical-relative:paragraph;z-index:-18158080"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0" w:right="99" w:firstLine="0"/>
        <w:jc w:val="right"/>
        <w:rPr>
          <w:rFonts w:ascii="Arial"/>
          <w:sz w:val="37"/>
        </w:rPr>
      </w:pPr>
      <w:r>
        <w:rPr/>
        <w:pict>
          <v:rect style="position:absolute;margin-left:34.468254pt;margin-top:9.487033pt;width:547.194684pt;height:.768532pt;mso-position-horizontal-relative:page;mso-position-vertical-relative:paragraph;z-index:15760384"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after="0"/>
        <w:jc w:val="right"/>
        <w:rPr>
          <w:rFonts w:ascii="Arial"/>
          <w:sz w:val="37"/>
        </w:rPr>
        <w:sectPr>
          <w:footerReference w:type="default" r:id="rId36"/>
          <w:pgSz w:w="12240" w:h="15840"/>
          <w:pgMar w:footer="0" w:header="0" w:top="640" w:bottom="280" w:left="800" w:right="500"/>
          <w:cols w:num="2" w:equalWidth="0">
            <w:col w:w="6673" w:space="2011"/>
            <w:col w:w="2256"/>
          </w:cols>
        </w:sectPr>
      </w:pPr>
    </w:p>
    <w:p>
      <w:pPr>
        <w:spacing w:before="66"/>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BodyText"/>
        <w:rPr>
          <w:rFonts w:ascii="Arial"/>
          <w:sz w:val="26"/>
        </w:rPr>
      </w:pPr>
    </w:p>
    <w:p>
      <w:pPr>
        <w:pStyle w:val="BodyText"/>
        <w:rPr>
          <w:rFonts w:ascii="Arial"/>
          <w:sz w:val="26"/>
        </w:rPr>
      </w:pPr>
    </w:p>
    <w:p>
      <w:pPr>
        <w:pStyle w:val="Heading1"/>
        <w:spacing w:before="219"/>
      </w:pPr>
      <w:r>
        <w:rPr/>
        <w:pict>
          <v:rect style="position:absolute;margin-left:34.468254pt;margin-top:-1.201615pt;width:547.194684pt;height:.768532pt;mso-position-horizontal-relative:page;mso-position-vertical-relative:paragraph;z-index:15773696" filled="true" fillcolor="#999999" stroked="false">
            <v:fill type="solid"/>
            <w10:wrap type="none"/>
          </v:rect>
        </w:pict>
      </w:r>
      <w:r>
        <w:rPr/>
        <w:pict>
          <v:group style="position:absolute;margin-left:45.996231pt;margin-top:17.243149pt;width:27.7pt;height:28.45pt;mso-position-horizontal-relative:page;mso-position-vertical-relative:paragraph;z-index:15779840" coordorigin="920,345" coordsize="554,569">
            <v:rect style="position:absolute;left:919;top:344;width:554;height:569" filled="true" fillcolor="#993399" stroked="false">
              <v:fill type="solid"/>
            </v:rect>
            <v:shape style="position:absolute;left:919;top:344;width:554;height:569" type="#_x0000_t202" filled="false" stroked="false">
              <v:textbox inset="0,0,0,0">
                <w:txbxContent>
                  <w:p>
                    <w:pPr>
                      <w:spacing w:before="86"/>
                      <w:ind w:left="76" w:right="0" w:firstLine="0"/>
                      <w:jc w:val="left"/>
                      <w:rPr>
                        <w:rFonts w:ascii="Arial"/>
                        <w:sz w:val="35"/>
                      </w:rPr>
                    </w:pPr>
                    <w:r>
                      <w:rPr>
                        <w:rFonts w:ascii="Arial"/>
                        <w:color w:val="FFFFFF"/>
                        <w:sz w:val="35"/>
                      </w:rPr>
                      <w:t>21</w:t>
                    </w:r>
                  </w:p>
                </w:txbxContent>
              </v:textbox>
              <w10:wrap type="none"/>
            </v:shape>
            <w10:wrap type="none"/>
          </v:group>
        </w:pict>
      </w:r>
      <w:r>
        <w:rPr>
          <w:color w:val="993399"/>
        </w:rPr>
        <w:t>media.neliti.com</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rect style="position:absolute;margin-left:34.468254pt;margin-top:-2.001633pt;width:547.194684pt;height:.768532pt;mso-position-horizontal-relative:page;mso-position-vertical-relative:paragraph;z-index:15774208" filled="true" fillcolor="#999999" stroked="false">
            <v:fill type="solid"/>
            <w10:wrap type="none"/>
          </v:rect>
        </w:pict>
      </w:r>
      <w:r>
        <w:rPr/>
        <w:pict>
          <v:group style="position:absolute;margin-left:45.996231pt;margin-top:16.44313pt;width:27.7pt;height:28.45pt;mso-position-horizontal-relative:page;mso-position-vertical-relative:paragraph;z-index:15780864" coordorigin="920,329" coordsize="554,569">
            <v:rect style="position:absolute;left:919;top:328;width:554;height:569" filled="true" fillcolor="#4d7501"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22</w:t>
                    </w:r>
                  </w:p>
                </w:txbxContent>
              </v:textbox>
              <w10:wrap type="none"/>
            </v:shape>
            <w10:wrap type="none"/>
          </v:group>
        </w:pict>
      </w:r>
      <w:hyperlink r:id="rId38">
        <w:r>
          <w:rPr>
            <w:color w:val="4D7501"/>
          </w:rPr>
          <w:t>www.ejournal.pelitaindonesia.ac.id</w:t>
        </w:r>
      </w:hyperlink>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spacing w:before="202"/>
      </w:pPr>
      <w:r>
        <w:rPr/>
        <w:pict>
          <v:rect style="position:absolute;margin-left:34.468254pt;margin-top:-2.051651pt;width:547.194684pt;height:.768532pt;mso-position-horizontal-relative:page;mso-position-vertical-relative:paragraph;z-index:-18143232" filled="true" fillcolor="#999999" stroked="false">
            <v:fill type="solid"/>
            <w10:wrap type="none"/>
          </v:rect>
        </w:pict>
      </w:r>
      <w:r>
        <w:rPr/>
        <w:pict>
          <v:group style="position:absolute;margin-left:45.996231pt;margin-top:16.393114pt;width:27.7pt;height:28.45pt;mso-position-horizontal-relative:page;mso-position-vertical-relative:paragraph;z-index:15781888" coordorigin="920,328" coordsize="554,569">
            <v:rect style="position:absolute;left:919;top:327;width:554;height:569" filled="true" fillcolor="#221c9a" stroked="false">
              <v:fill type="solid"/>
            </v:rect>
            <v:shape style="position:absolute;left:919;top:327;width:554;height:569" type="#_x0000_t202" filled="false" stroked="false">
              <v:textbox inset="0,0,0,0">
                <w:txbxContent>
                  <w:p>
                    <w:pPr>
                      <w:spacing w:before="86"/>
                      <w:ind w:left="76" w:right="0" w:firstLine="0"/>
                      <w:jc w:val="left"/>
                      <w:rPr>
                        <w:rFonts w:ascii="Arial"/>
                        <w:sz w:val="35"/>
                      </w:rPr>
                    </w:pPr>
                    <w:r>
                      <w:rPr>
                        <w:rFonts w:ascii="Arial"/>
                        <w:color w:val="FFFFFF"/>
                        <w:sz w:val="35"/>
                      </w:rPr>
                      <w:t>23</w:t>
                    </w:r>
                  </w:p>
                </w:txbxContent>
              </v:textbox>
              <w10:wrap type="none"/>
            </v:shape>
            <w10:wrap type="none"/>
          </v:group>
        </w:pict>
      </w:r>
      <w:r>
        <w:rPr>
          <w:color w:val="221C9A"/>
        </w:rPr>
        <w:t>lontar.ui.ac.id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rect style="position:absolute;margin-left:34.468254pt;margin-top:-2.001639pt;width:547.194684pt;height:.768532pt;mso-position-horizontal-relative:page;mso-position-vertical-relative:paragraph;z-index:15775232" filled="true" fillcolor="#999999" stroked="false">
            <v:fill type="solid"/>
            <w10:wrap type="none"/>
          </v:rect>
        </w:pict>
      </w:r>
      <w:r>
        <w:rPr/>
        <w:pict>
          <v:group style="position:absolute;margin-left:45.996231pt;margin-top:16.443127pt;width:27.7pt;height:28.45pt;mso-position-horizontal-relative:page;mso-position-vertical-relative:paragraph;z-index:15782912" coordorigin="920,329" coordsize="554,569">
            <v:rect style="position:absolute;left:919;top:328;width:554;height:569" filled="true" fillcolor="#0063d0"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24</w:t>
                    </w:r>
                  </w:p>
                </w:txbxContent>
              </v:textbox>
              <w10:wrap type="none"/>
            </v:shape>
            <w10:wrap type="none"/>
          </v:group>
        </w:pict>
      </w:r>
      <w:r>
        <w:rPr>
          <w:color w:val="0063D0"/>
        </w:rPr>
        <w:t>repository.ipb.ac.id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rect style="position:absolute;margin-left:34.468254pt;margin-top:-2.001626pt;width:547.194684pt;height:.768532pt;mso-position-horizontal-relative:page;mso-position-vertical-relative:paragraph;z-index:-18142208" filled="true" fillcolor="#999999" stroked="false">
            <v:fill type="solid"/>
            <w10:wrap type="none"/>
          </v:rect>
        </w:pict>
      </w:r>
      <w:r>
        <w:rPr/>
        <w:pict>
          <v:group style="position:absolute;margin-left:45.996231pt;margin-top:16.443138pt;width:27.7pt;height:28.45pt;mso-position-horizontal-relative:page;mso-position-vertical-relative:paragraph;z-index:15783936" coordorigin="920,329" coordsize="554,569">
            <v:rect style="position:absolute;left:919;top:328;width:554;height:569" filled="true" fillcolor="#ff0000"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25</w:t>
                    </w:r>
                  </w:p>
                </w:txbxContent>
              </v:textbox>
              <w10:wrap type="none"/>
            </v:shape>
            <w10:wrap type="none"/>
          </v:group>
        </w:pict>
      </w:r>
      <w:r>
        <w:rPr>
          <w:color w:val="FF0000"/>
        </w:rPr>
        <w:t>id.123dok.com</w:t>
      </w:r>
    </w:p>
    <w:p>
      <w:pPr>
        <w:spacing w:before="41"/>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rect style="position:absolute;margin-left:34.468254pt;margin-top:-2.001644pt;width:547.194684pt;height:.768532pt;mso-position-horizontal-relative:page;mso-position-vertical-relative:paragraph;z-index:15776256" filled="true" fillcolor="#999999" stroked="false">
            <v:fill type="solid"/>
            <w10:wrap type="none"/>
          </v:rect>
        </w:pict>
      </w:r>
      <w:r>
        <w:rPr/>
        <w:pict>
          <v:group style="position:absolute;margin-left:45.996231pt;margin-top:16.443121pt;width:27.7pt;height:28.45pt;mso-position-horizontal-relative:page;mso-position-vertical-relative:paragraph;z-index:15784960" coordorigin="920,329" coordsize="554,569">
            <v:rect style="position:absolute;left:919;top:328;width:554;height:569" filled="true" fillcolor="#e70bd6"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26</w:t>
                    </w:r>
                  </w:p>
                </w:txbxContent>
              </v:textbox>
              <w10:wrap type="none"/>
            </v:shape>
            <w10:wrap type="none"/>
          </v:group>
        </w:pict>
      </w:r>
      <w:r>
        <w:rPr>
          <w:color w:val="E70BD6"/>
        </w:rPr>
        <w:t>repository.unisba.ac.id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rect style="position:absolute;margin-left:34.468254pt;margin-top:-2.001632pt;width:547.194684pt;height:.768532pt;mso-position-horizontal-relative:page;mso-position-vertical-relative:paragraph;z-index:15776768" filled="true" fillcolor="#999999" stroked="false">
            <v:fill type="solid"/>
            <w10:wrap type="none"/>
          </v:rect>
        </w:pict>
      </w:r>
      <w:r>
        <w:rPr/>
        <w:pict>
          <v:group style="position:absolute;margin-left:45.996231pt;margin-top:16.443132pt;width:27.7pt;height:28.45pt;mso-position-horizontal-relative:page;mso-position-vertical-relative:paragraph;z-index:15785984" coordorigin="920,329" coordsize="554,569">
            <v:rect style="position:absolute;left:919;top:328;width:554;height:569" filled="true" fillcolor="#8b05ff"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27</w:t>
                    </w:r>
                  </w:p>
                </w:txbxContent>
              </v:textbox>
              <w10:wrap type="none"/>
            </v:shape>
            <w10:wrap type="none"/>
          </v:group>
        </w:pict>
      </w:r>
      <w:r>
        <w:rPr>
          <w:color w:val="8B05FF"/>
        </w:rPr>
        <w:t>etheses.uin-malang.ac.id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spacing w:before="202"/>
      </w:pPr>
      <w:r>
        <w:rPr/>
        <w:pict>
          <v:rect style="position:absolute;margin-left:34.468254pt;margin-top:-2.051635pt;width:547.194684pt;height:.768532pt;mso-position-horizontal-relative:page;mso-position-vertical-relative:paragraph;z-index:-18140672" filled="true" fillcolor="#999999" stroked="false">
            <v:fill type="solid"/>
            <w10:wrap type="none"/>
          </v:rect>
        </w:pict>
      </w:r>
      <w:r>
        <w:rPr/>
        <w:pict>
          <v:group style="position:absolute;margin-left:45.996231pt;margin-top:16.393129pt;width:27.7pt;height:28.45pt;mso-position-horizontal-relative:page;mso-position-vertical-relative:paragraph;z-index:15787008" coordorigin="920,328" coordsize="554,569">
            <v:rect style="position:absolute;left:919;top:327;width:554;height:569" filled="true" fillcolor="#00a9a9" stroked="false">
              <v:fill type="solid"/>
            </v:rect>
            <v:shape style="position:absolute;left:919;top:327;width:554;height:569" type="#_x0000_t202" filled="false" stroked="false">
              <v:textbox inset="0,0,0,0">
                <w:txbxContent>
                  <w:p>
                    <w:pPr>
                      <w:spacing w:before="86"/>
                      <w:ind w:left="76" w:right="0" w:firstLine="0"/>
                      <w:jc w:val="left"/>
                      <w:rPr>
                        <w:rFonts w:ascii="Arial"/>
                        <w:sz w:val="35"/>
                      </w:rPr>
                    </w:pPr>
                    <w:r>
                      <w:rPr>
                        <w:rFonts w:ascii="Arial"/>
                        <w:color w:val="FFFFFF"/>
                        <w:sz w:val="35"/>
                      </w:rPr>
                      <w:t>28</w:t>
                    </w:r>
                  </w:p>
                </w:txbxContent>
              </v:textbox>
              <w10:wrap type="none"/>
            </v:shape>
            <w10:wrap type="none"/>
          </v:group>
        </w:pict>
      </w:r>
      <w:r>
        <w:rPr>
          <w:color w:val="00A9A9"/>
        </w:rPr>
        <w:t>eprints.ums.ac.id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rect style="position:absolute;margin-left:34.468254pt;margin-top:-2.001638pt;width:547.194684pt;height:.768532pt;mso-position-horizontal-relative:page;mso-position-vertical-relative:paragraph;z-index:15777792" filled="true" fillcolor="#999999" stroked="false">
            <v:fill type="solid"/>
            <w10:wrap type="none"/>
          </v:rect>
        </w:pict>
      </w:r>
      <w:r>
        <w:rPr/>
        <w:pict>
          <v:group style="position:absolute;margin-left:45.996231pt;margin-top:16.443127pt;width:27.7pt;height:28.45pt;mso-position-horizontal-relative:page;mso-position-vertical-relative:paragraph;z-index:15788032" coordorigin="920,329" coordsize="554,569">
            <v:rect style="position:absolute;left:919;top:328;width:554;height:569" filled="true" fillcolor="#00a900"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29</w:t>
                    </w:r>
                  </w:p>
                </w:txbxContent>
              </v:textbox>
              <w10:wrap type="none"/>
            </v:shape>
            <w10:wrap type="none"/>
          </v:group>
        </w:pict>
      </w:r>
      <w:r>
        <w:rPr>
          <w:color w:val="00A900"/>
        </w:rPr>
        <w:t>journal.uinjkt.ac.id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rect style="position:absolute;margin-left:34.468254pt;margin-top:-2.00164pt;width:547.194684pt;height:.768532pt;mso-position-horizontal-relative:page;mso-position-vertical-relative:paragraph;z-index:-18139648" filled="true" fillcolor="#999999" stroked="false">
            <v:fill type="solid"/>
            <w10:wrap type="none"/>
          </v:rect>
        </w:pict>
      </w:r>
      <w:r>
        <w:rPr/>
        <w:pict>
          <v:group style="position:absolute;margin-left:45.996231pt;margin-top:16.443125pt;width:27.7pt;height:28.45pt;mso-position-horizontal-relative:page;mso-position-vertical-relative:paragraph;z-index:15789056" coordorigin="920,329" coordsize="554,569">
            <v:rect style="position:absolute;left:919;top:328;width:554;height:569" filled="true" fillcolor="#aa6f00"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30</w:t>
                    </w:r>
                  </w:p>
                </w:txbxContent>
              </v:textbox>
              <w10:wrap type="none"/>
            </v:shape>
            <w10:wrap type="none"/>
          </v:group>
        </w:pict>
      </w:r>
      <w:r>
        <w:rPr>
          <w:color w:val="AA6F00"/>
        </w:rPr>
        <w:t>jom.unpak.ac.id</w:t>
      </w:r>
    </w:p>
    <w:p>
      <w:pPr>
        <w:spacing w:before="41"/>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rect style="position:absolute;margin-left:34.468254pt;margin-top:-2.001643pt;width:547.194684pt;height:.768532pt;mso-position-horizontal-relative:page;mso-position-vertical-relative:paragraph;z-index:15778816" filled="true" fillcolor="#999999" stroked="false">
            <v:fill type="solid"/>
            <w10:wrap type="none"/>
          </v:rect>
        </w:pict>
      </w:r>
      <w:r>
        <w:rPr/>
        <w:pict>
          <v:group style="position:absolute;margin-left:45.996231pt;margin-top:16.443121pt;width:27.7pt;height:28.45pt;mso-position-horizontal-relative:page;mso-position-vertical-relative:paragraph;z-index:15790080" coordorigin="920,329" coordsize="554,569">
            <v:rect style="position:absolute;left:919;top:328;width:554;height:569" filled="true" fillcolor="#792d05"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31</w:t>
                    </w:r>
                  </w:p>
                </w:txbxContent>
              </v:textbox>
              <w10:wrap type="none"/>
            </v:shape>
            <w10:wrap type="none"/>
          </v:group>
        </w:pict>
      </w:r>
      <w:r>
        <w:rPr>
          <w:color w:val="792D05"/>
        </w:rPr>
        <w:t>repository.wima.ac.id</w:t>
      </w:r>
    </w:p>
    <w:p>
      <w:pPr>
        <w:spacing w:before="42"/>
        <w:ind w:left="1042" w:right="0" w:firstLine="0"/>
        <w:jc w:val="left"/>
        <w:rPr>
          <w:rFonts w:ascii="Arial"/>
          <w:sz w:val="23"/>
        </w:rPr>
      </w:pPr>
      <w:r>
        <w:rPr>
          <w:rFonts w:ascii="Arial"/>
          <w:color w:val="767676"/>
          <w:sz w:val="23"/>
        </w:rPr>
        <w:t>Internet Source</w:t>
      </w:r>
    </w:p>
    <w:p>
      <w:pPr>
        <w:spacing w:before="128"/>
        <w:ind w:left="1042" w:right="0" w:firstLine="0"/>
        <w:jc w:val="left"/>
        <w:rPr>
          <w:rFonts w:ascii="Arial"/>
          <w:sz w:val="37"/>
        </w:rPr>
      </w:pPr>
      <w:r>
        <w:rPr/>
        <w:br w:type="column"/>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1042" w:right="0" w:firstLine="0"/>
        <w:jc w:val="left"/>
        <w:rPr>
          <w:rFonts w:ascii="Arial"/>
          <w:sz w:val="37"/>
        </w:rPr>
      </w:pP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after="0"/>
        <w:jc w:val="left"/>
        <w:rPr>
          <w:rFonts w:ascii="Arial"/>
          <w:sz w:val="37"/>
        </w:rPr>
        <w:sectPr>
          <w:footerReference w:type="default" r:id="rId37"/>
          <w:pgSz w:w="12240" w:h="15840"/>
          <w:pgMar w:footer="0" w:header="0" w:top="500" w:bottom="280" w:left="800" w:right="500"/>
          <w:cols w:num="2" w:equalWidth="0">
            <w:col w:w="6973" w:space="1711"/>
            <w:col w:w="2256"/>
          </w:cols>
        </w:sect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BodyText"/>
        <w:spacing w:before="4"/>
        <w:rPr>
          <w:rFonts w:ascii="Arial"/>
          <w:sz w:val="7"/>
        </w:rPr>
      </w:pPr>
    </w:p>
    <w:p>
      <w:pPr>
        <w:spacing w:after="0"/>
        <w:rPr>
          <w:rFonts w:ascii="Arial"/>
          <w:sz w:val="7"/>
        </w:rPr>
        <w:sectPr>
          <w:footerReference w:type="default" r:id="rId39"/>
          <w:pgSz w:w="12240" w:h="15840"/>
          <w:pgMar w:footer="0" w:header="0" w:top="680" w:bottom="280" w:left="800" w:right="500"/>
        </w:sectPr>
      </w:pPr>
    </w:p>
    <w:p>
      <w:pPr>
        <w:pStyle w:val="Heading1"/>
        <w:spacing w:before="148"/>
      </w:pPr>
      <w:r>
        <w:rPr/>
        <w:pict>
          <v:group style="position:absolute;margin-left:45.996231pt;margin-top:13.693139pt;width:27.7pt;height:28.45pt;mso-position-horizontal-relative:page;mso-position-vertical-relative:paragraph;z-index:15796736" coordorigin="920,274" coordsize="554,569">
            <v:rect style="position:absolute;left:919;top:273;width:554;height:569" filled="true" fillcolor="#054679" stroked="false">
              <v:fill type="solid"/>
            </v:rect>
            <v:shape style="position:absolute;left:919;top:273;width:554;height:569" type="#_x0000_t202" filled="false" stroked="false">
              <v:textbox inset="0,0,0,0">
                <w:txbxContent>
                  <w:p>
                    <w:pPr>
                      <w:spacing w:before="86"/>
                      <w:ind w:left="76" w:right="0" w:firstLine="0"/>
                      <w:jc w:val="left"/>
                      <w:rPr>
                        <w:rFonts w:ascii="Arial"/>
                        <w:sz w:val="35"/>
                      </w:rPr>
                    </w:pPr>
                    <w:r>
                      <w:rPr>
                        <w:rFonts w:ascii="Arial"/>
                        <w:color w:val="FFFFFF"/>
                        <w:sz w:val="35"/>
                      </w:rPr>
                      <w:t>32</w:t>
                    </w:r>
                  </w:p>
                </w:txbxContent>
              </v:textbox>
              <w10:wrap type="none"/>
            </v:shape>
            <w10:wrap type="none"/>
          </v:group>
        </w:pict>
      </w:r>
      <w:r>
        <w:rPr>
          <w:color w:val="054679"/>
        </w:rPr>
        <w:t>gultomhans.wordpress.com</w:t>
      </w:r>
    </w:p>
    <w:p>
      <w:pPr>
        <w:spacing w:before="41"/>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21pt;width:27.7pt;height:28.45pt;mso-position-horizontal-relative:page;mso-position-vertical-relative:paragraph;z-index:15797760" coordorigin="920,329" coordsize="554,569">
            <v:rect style="position:absolute;left:919;top:328;width:554;height:569" filled="true" fillcolor="#993399"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33</w:t>
                    </w:r>
                  </w:p>
                </w:txbxContent>
              </v:textbox>
              <w10:wrap type="none"/>
            </v:shape>
            <w10:wrap type="none"/>
          </v:group>
        </w:pict>
      </w:r>
      <w:r>
        <w:rPr>
          <w:color w:val="993399"/>
        </w:rPr>
        <w:t>eprints.uny.ac.id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04pt;width:27.7pt;height:28.45pt;mso-position-horizontal-relative:page;mso-position-vertical-relative:paragraph;z-index:15798784" coordorigin="920,329" coordsize="554,569">
            <v:rect style="position:absolute;left:919;top:328;width:554;height:569" filled="true" fillcolor="#4d7501"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34</w:t>
                    </w:r>
                  </w:p>
                </w:txbxContent>
              </v:textbox>
              <w10:wrap type="none"/>
            </v:shape>
            <w10:wrap type="none"/>
          </v:group>
        </w:pict>
      </w:r>
      <w:r>
        <w:rPr>
          <w:color w:val="4D7501"/>
        </w:rPr>
        <w:t>ejournal.adbisnis.fisip-unmul.ac.id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spacing w:before="202"/>
      </w:pPr>
      <w:r>
        <w:rPr/>
        <w:pict>
          <v:group style="position:absolute;margin-left:45.996231pt;margin-top:16.393147pt;width:27.7pt;height:28.45pt;mso-position-horizontal-relative:page;mso-position-vertical-relative:paragraph;z-index:15799808" coordorigin="920,328" coordsize="554,569">
            <v:rect style="position:absolute;left:919;top:327;width:554;height:569" filled="true" fillcolor="#221c9a" stroked="false">
              <v:fill type="solid"/>
            </v:rect>
            <v:shape style="position:absolute;left:919;top:327;width:554;height:569" type="#_x0000_t202" filled="false" stroked="false">
              <v:textbox inset="0,0,0,0">
                <w:txbxContent>
                  <w:p>
                    <w:pPr>
                      <w:spacing w:before="86"/>
                      <w:ind w:left="76" w:right="0" w:firstLine="0"/>
                      <w:jc w:val="left"/>
                      <w:rPr>
                        <w:rFonts w:ascii="Arial"/>
                        <w:sz w:val="35"/>
                      </w:rPr>
                    </w:pPr>
                    <w:r>
                      <w:rPr>
                        <w:rFonts w:ascii="Arial"/>
                        <w:color w:val="FFFFFF"/>
                        <w:sz w:val="35"/>
                      </w:rPr>
                      <w:t>35</w:t>
                    </w:r>
                  </w:p>
                </w:txbxContent>
              </v:textbox>
              <w10:wrap type="none"/>
            </v:shape>
            <w10:wrap type="none"/>
          </v:group>
        </w:pict>
      </w:r>
      <w:r>
        <w:rPr>
          <w:color w:val="221C9A"/>
        </w:rPr>
        <w:t>eprints.perbanas.ac.id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29pt;width:27.7pt;height:28.45pt;mso-position-horizontal-relative:page;mso-position-vertical-relative:paragraph;z-index:15800832" coordorigin="920,329" coordsize="554,569">
            <v:rect style="position:absolute;left:919;top:328;width:554;height:569" filled="true" fillcolor="#0063d0"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36</w:t>
                    </w:r>
                  </w:p>
                </w:txbxContent>
              </v:textbox>
              <w10:wrap type="none"/>
            </v:shape>
            <w10:wrap type="none"/>
          </v:group>
        </w:pict>
      </w:r>
      <w:r>
        <w:rPr>
          <w:color w:val="0063D0"/>
        </w:rPr>
        <w:t>elibrary.ub.ac.id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spacing w:line="278" w:lineRule="auto"/>
      </w:pPr>
      <w:r>
        <w:rPr/>
        <w:pict>
          <v:group style="position:absolute;margin-left:45.996231pt;margin-top:16.44311pt;width:27.7pt;height:28.45pt;mso-position-horizontal-relative:page;mso-position-vertical-relative:paragraph;z-index:15801856" coordorigin="920,329" coordsize="554,569">
            <v:rect style="position:absolute;left:919;top:328;width:554;height:569" filled="true" fillcolor="#ff0000"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37</w:t>
                    </w:r>
                  </w:p>
                </w:txbxContent>
              </v:textbox>
              <w10:wrap type="none"/>
            </v:shape>
            <w10:wrap type="none"/>
          </v:group>
        </w:pict>
      </w:r>
      <w:r>
        <w:rPr>
          <w:color w:val="FF0000"/>
        </w:rPr>
        <w:t>Andi Martias. "ANALISA PENGARUH FREE CASH FLOW, AUDIT INTERNAL, LIKUIDITAS, LEVERAGE DENGAN DISCREATIONARY</w:t>
      </w:r>
    </w:p>
    <w:p>
      <w:pPr>
        <w:spacing w:line="278" w:lineRule="auto" w:before="1"/>
        <w:ind w:left="1042" w:right="0" w:firstLine="0"/>
        <w:jc w:val="left"/>
        <w:rPr>
          <w:rFonts w:ascii="Arial"/>
          <w:sz w:val="38"/>
        </w:rPr>
      </w:pPr>
      <w:r>
        <w:rPr>
          <w:rFonts w:ascii="Arial"/>
          <w:color w:val="FF0000"/>
          <w:sz w:val="38"/>
        </w:rPr>
        <w:t>ACCRUAL Pada PT. ALSY", Jurnal Perspektif, 2020</w:t>
      </w:r>
    </w:p>
    <w:p>
      <w:pPr>
        <w:spacing w:line="237" w:lineRule="exact" w:before="0"/>
        <w:ind w:left="1042" w:right="0" w:firstLine="0"/>
        <w:jc w:val="left"/>
        <w:rPr>
          <w:rFonts w:ascii="Arial"/>
          <w:sz w:val="23"/>
        </w:rPr>
      </w:pPr>
      <w:r>
        <w:rPr>
          <w:rFonts w:ascii="Arial"/>
          <w:color w:val="767676"/>
          <w:sz w:val="23"/>
        </w:rPr>
        <w:t>Publication</w:t>
      </w:r>
    </w:p>
    <w:p>
      <w:pPr>
        <w:pStyle w:val="BodyText"/>
        <w:spacing w:before="10"/>
        <w:rPr>
          <w:rFonts w:ascii="Arial"/>
          <w:sz w:val="36"/>
        </w:rPr>
      </w:pPr>
    </w:p>
    <w:p>
      <w:pPr>
        <w:pStyle w:val="Heading1"/>
        <w:spacing w:before="1"/>
      </w:pPr>
      <w:r>
        <w:rPr/>
        <w:pict>
          <v:group style="position:absolute;margin-left:45.996231pt;margin-top:6.343122pt;width:27.7pt;height:28.45pt;mso-position-horizontal-relative:page;mso-position-vertical-relative:paragraph;z-index:15802880" coordorigin="920,127" coordsize="554,569">
            <v:rect style="position:absolute;left:919;top:126;width:554;height:569" filled="true" fillcolor="#e70bd6" stroked="false">
              <v:fill type="solid"/>
            </v:rect>
            <v:shape style="position:absolute;left:919;top:126;width:554;height:569" type="#_x0000_t202" filled="false" stroked="false">
              <v:textbox inset="0,0,0,0">
                <w:txbxContent>
                  <w:p>
                    <w:pPr>
                      <w:spacing w:before="86"/>
                      <w:ind w:left="76" w:right="0" w:firstLine="0"/>
                      <w:jc w:val="left"/>
                      <w:rPr>
                        <w:rFonts w:ascii="Arial"/>
                        <w:sz w:val="35"/>
                      </w:rPr>
                    </w:pPr>
                    <w:r>
                      <w:rPr>
                        <w:rFonts w:ascii="Arial"/>
                        <w:color w:val="FFFFFF"/>
                        <w:sz w:val="35"/>
                      </w:rPr>
                      <w:t>38</w:t>
                    </w:r>
                  </w:p>
                </w:txbxContent>
              </v:textbox>
              <w10:wrap type="none"/>
            </v:shape>
            <w10:wrap type="none"/>
          </v:group>
        </w:pict>
      </w:r>
      <w:r>
        <w:rPr>
          <w:color w:val="E70BD6"/>
        </w:rPr>
        <w:t>sinta3.ristekdikti.go.id</w:t>
      </w:r>
    </w:p>
    <w:p>
      <w:pPr>
        <w:spacing w:before="41"/>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19pt;width:27.7pt;height:28.45pt;mso-position-horizontal-relative:page;mso-position-vertical-relative:paragraph;z-index:15803904" coordorigin="920,329" coordsize="554,569">
            <v:rect style="position:absolute;left:919;top:328;width:554;height:569" filled="true" fillcolor="#8b05ff"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39</w:t>
                    </w:r>
                  </w:p>
                </w:txbxContent>
              </v:textbox>
              <w10:wrap type="none"/>
            </v:shape>
            <w10:wrap type="none"/>
          </v:group>
        </w:pict>
      </w:r>
      <w:r>
        <w:rPr>
          <w:color w:val="8B05FF"/>
        </w:rPr>
        <w:t>administrasibisnis.studentjournal.ub.ac.id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group style="position:absolute;margin-left:45.996231pt;margin-top:16.443117pt;width:27.7pt;height:28.45pt;mso-position-horizontal-relative:page;mso-position-vertical-relative:paragraph;z-index:15804928" coordorigin="920,329" coordsize="554,569">
            <v:rect style="position:absolute;left:919;top:328;width:554;height:569" filled="true" fillcolor="#00a9a9" stroked="false">
              <v:fill type="solid"/>
            </v:rect>
            <v:shape style="position:absolute;left:919;top:328;width:554;height:569" type="#_x0000_t202" filled="false" stroked="false">
              <v:textbox inset="0,0,0,0">
                <w:txbxContent>
                  <w:p>
                    <w:pPr>
                      <w:spacing w:before="86"/>
                      <w:ind w:left="76" w:right="0" w:firstLine="0"/>
                      <w:jc w:val="left"/>
                      <w:rPr>
                        <w:rFonts w:ascii="Arial"/>
                        <w:sz w:val="35"/>
                      </w:rPr>
                    </w:pPr>
                    <w:r>
                      <w:rPr>
                        <w:rFonts w:ascii="Arial"/>
                        <w:color w:val="FFFFFF"/>
                        <w:sz w:val="35"/>
                      </w:rPr>
                      <w:t>40</w:t>
                    </w:r>
                  </w:p>
                </w:txbxContent>
              </v:textbox>
              <w10:wrap type="none"/>
            </v:shape>
            <w10:wrap type="none"/>
          </v:group>
        </w:pict>
      </w:r>
      <w:r>
        <w:rPr>
          <w:color w:val="00A9A9"/>
        </w:rPr>
        <w:t>jurnal.stie.asia.ac.id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spacing w:before="202"/>
      </w:pPr>
      <w:r>
        <w:rPr/>
        <w:pict>
          <v:group style="position:absolute;margin-left:45.996231pt;margin-top:16.393114pt;width:27.7pt;height:28.45pt;mso-position-horizontal-relative:page;mso-position-vertical-relative:paragraph;z-index:15805952" coordorigin="920,328" coordsize="554,569">
            <v:rect style="position:absolute;left:919;top:327;width:554;height:569" filled="true" fillcolor="#00a900" stroked="false">
              <v:fill type="solid"/>
            </v:rect>
            <v:shape style="position:absolute;left:919;top:327;width:554;height:569" type="#_x0000_t202" filled="false" stroked="false">
              <v:textbox inset="0,0,0,0">
                <w:txbxContent>
                  <w:p>
                    <w:pPr>
                      <w:spacing w:before="86"/>
                      <w:ind w:left="76" w:right="0" w:firstLine="0"/>
                      <w:jc w:val="left"/>
                      <w:rPr>
                        <w:rFonts w:ascii="Arial"/>
                        <w:sz w:val="35"/>
                      </w:rPr>
                    </w:pPr>
                    <w:r>
                      <w:rPr>
                        <w:rFonts w:ascii="Arial"/>
                        <w:color w:val="FFFFFF"/>
                        <w:sz w:val="35"/>
                      </w:rPr>
                      <w:t>41</w:t>
                    </w:r>
                  </w:p>
                </w:txbxContent>
              </v:textbox>
              <w10:wrap type="none"/>
            </v:shape>
            <w10:wrap type="none"/>
          </v:group>
        </w:pict>
      </w:r>
      <w:r>
        <w:rPr>
          <w:color w:val="00A900"/>
        </w:rPr>
        <w:t>manajemenringga.blogspot.com</w:t>
      </w:r>
    </w:p>
    <w:p>
      <w:pPr>
        <w:spacing w:before="42"/>
        <w:ind w:left="1042" w:right="0" w:firstLine="0"/>
        <w:jc w:val="left"/>
        <w:rPr>
          <w:rFonts w:ascii="Arial"/>
          <w:sz w:val="23"/>
        </w:rPr>
      </w:pPr>
      <w:r>
        <w:rPr>
          <w:rFonts w:ascii="Arial"/>
          <w:color w:val="767676"/>
          <w:sz w:val="23"/>
        </w:rPr>
        <w:t>Internet Source</w:t>
      </w:r>
    </w:p>
    <w:p>
      <w:pPr>
        <w:spacing w:before="74"/>
        <w:ind w:left="577" w:right="0" w:firstLine="0"/>
        <w:jc w:val="left"/>
        <w:rPr>
          <w:rFonts w:ascii="Arial"/>
          <w:sz w:val="37"/>
        </w:rPr>
      </w:pPr>
      <w:r>
        <w:rPr/>
        <w:br w:type="column"/>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577" w:right="0" w:firstLine="0"/>
        <w:jc w:val="left"/>
        <w:rPr>
          <w:rFonts w:ascii="Arial"/>
          <w:sz w:val="37"/>
        </w:rPr>
      </w:pPr>
      <w:r>
        <w:rPr/>
        <w:pict>
          <v:rect style="position:absolute;margin-left:34.468254pt;margin-top:9.487016pt;width:547.194684pt;height:.768532pt;mso-position-horizontal-relative:page;mso-position-vertical-relative:paragraph;z-index:15791104"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577" w:right="0" w:firstLine="0"/>
        <w:jc w:val="left"/>
        <w:rPr>
          <w:rFonts w:ascii="Arial"/>
          <w:sz w:val="37"/>
        </w:rPr>
      </w:pPr>
      <w:r>
        <w:rPr/>
        <w:pict>
          <v:rect style="position:absolute;margin-left:34.468254pt;margin-top:9.536998pt;width:547.194684pt;height:.768532pt;mso-position-horizontal-relative:page;mso-position-vertical-relative:paragraph;z-index:15791616"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577" w:right="0" w:firstLine="0"/>
        <w:jc w:val="left"/>
        <w:rPr>
          <w:rFonts w:ascii="Arial"/>
          <w:sz w:val="37"/>
        </w:rPr>
      </w:pPr>
      <w:r>
        <w:rPr/>
        <w:pict>
          <v:rect style="position:absolute;margin-left:34.468254pt;margin-top:9.537041pt;width:547.194684pt;height:.768532pt;mso-position-horizontal-relative:page;mso-position-vertical-relative:paragraph;z-index:-18125824"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577" w:right="0" w:firstLine="0"/>
        <w:jc w:val="left"/>
        <w:rPr>
          <w:rFonts w:ascii="Arial"/>
          <w:sz w:val="37"/>
        </w:rPr>
      </w:pPr>
      <w:r>
        <w:rPr/>
        <w:pict>
          <v:rect style="position:absolute;margin-left:34.468254pt;margin-top:9.487023pt;width:547.194684pt;height:.768532pt;mso-position-horizontal-relative:page;mso-position-vertical-relative:paragraph;z-index:15792640"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577" w:right="0" w:firstLine="0"/>
        <w:jc w:val="left"/>
        <w:rPr>
          <w:rFonts w:ascii="Arial"/>
          <w:sz w:val="37"/>
        </w:rPr>
      </w:pPr>
      <w:r>
        <w:rPr/>
        <w:pict>
          <v:rect style="position:absolute;margin-left:34.468254pt;margin-top:9.537005pt;width:547.194684pt;height:.768532pt;mso-position-horizontal-relative:page;mso-position-vertical-relative:paragraph;z-index:-18124800"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pStyle w:val="BodyText"/>
        <w:rPr>
          <w:rFonts w:ascii="Arial"/>
          <w:sz w:val="86"/>
        </w:rPr>
      </w:pPr>
    </w:p>
    <w:p>
      <w:pPr>
        <w:pStyle w:val="BodyText"/>
        <w:rPr>
          <w:rFonts w:ascii="Arial"/>
          <w:sz w:val="115"/>
        </w:rPr>
      </w:pPr>
    </w:p>
    <w:p>
      <w:pPr>
        <w:spacing w:before="0"/>
        <w:ind w:left="577" w:right="0" w:firstLine="0"/>
        <w:jc w:val="left"/>
        <w:rPr>
          <w:rFonts w:ascii="Arial"/>
          <w:sz w:val="37"/>
        </w:rPr>
      </w:pPr>
      <w:r>
        <w:rPr/>
        <w:pict>
          <v:rect style="position:absolute;margin-left:34.468254pt;margin-top:-8.462982pt;width:547.194684pt;height:.768532pt;mso-position-horizontal-relative:page;mso-position-vertical-relative:paragraph;z-index:-18124288"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577" w:right="0" w:firstLine="0"/>
        <w:jc w:val="left"/>
        <w:rPr>
          <w:rFonts w:ascii="Arial"/>
          <w:sz w:val="37"/>
        </w:rPr>
      </w:pPr>
      <w:r>
        <w:rPr/>
        <w:pict>
          <v:rect style="position:absolute;margin-left:34.468254pt;margin-top:9.537015pt;width:547.194684pt;height:.768532pt;mso-position-horizontal-relative:page;mso-position-vertical-relative:paragraph;z-index:15794176"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577" w:right="0" w:firstLine="0"/>
        <w:jc w:val="left"/>
        <w:rPr>
          <w:rFonts w:ascii="Arial"/>
          <w:sz w:val="37"/>
        </w:rPr>
      </w:pPr>
      <w:r>
        <w:rPr/>
        <w:pict>
          <v:rect style="position:absolute;margin-left:34.468254pt;margin-top:9.487012pt;width:547.194684pt;height:.768532pt;mso-position-horizontal-relative:page;mso-position-vertical-relative:paragraph;z-index:15794688"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577" w:right="0" w:firstLine="0"/>
        <w:jc w:val="left"/>
        <w:rPr>
          <w:rFonts w:ascii="Arial"/>
          <w:sz w:val="37"/>
        </w:rPr>
      </w:pPr>
      <w:r>
        <w:rPr/>
        <w:pict>
          <v:rect style="position:absolute;margin-left:34.468254pt;margin-top:9.537013pt;width:547.194684pt;height:.768532pt;mso-position-horizontal-relative:page;mso-position-vertical-relative:paragraph;z-index:-18122752" filled="true" fillcolor="#999999" stroked="false">
            <v:fill type="solid"/>
            <w10:wrap type="none"/>
          </v:rect>
        </w:pict>
      </w:r>
      <w:r>
        <w:rPr/>
        <w:pict>
          <v:rect style="position:absolute;margin-left:34.468254pt;margin-top:71.788094pt;width:547.194684pt;height:.768532pt;mso-position-horizontal-relative:page;mso-position-vertical-relative:paragraph;z-index:15795712"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after="0"/>
        <w:jc w:val="left"/>
        <w:rPr>
          <w:rFonts w:ascii="Arial"/>
          <w:sz w:val="37"/>
        </w:rPr>
        <w:sectPr>
          <w:type w:val="continuous"/>
          <w:pgSz w:w="12240" w:h="15840"/>
          <w:pgMar w:top="1580" w:bottom="280" w:left="800" w:right="500"/>
          <w:cols w:num="2" w:equalWidth="0">
            <w:col w:w="9109" w:space="40"/>
            <w:col w:w="1791"/>
          </w:cols>
        </w:sectPr>
      </w:pPr>
    </w:p>
    <w:p>
      <w:pPr>
        <w:pStyle w:val="Heading1"/>
        <w:spacing w:before="125"/>
      </w:pPr>
      <w:r>
        <w:rPr/>
        <w:pict>
          <v:shape style="position:absolute;margin-left:49.838894pt;margin-top:17.292343pt;width:19.7pt;height:19.75pt;mso-position-horizontal-relative:page;mso-position-vertical-relative:paragraph;z-index:15809024" type="#_x0000_t202" filled="false" stroked="false">
            <v:textbox inset="0,0,0,0">
              <w:txbxContent>
                <w:p>
                  <w:pPr>
                    <w:spacing w:line="394" w:lineRule="exact" w:before="0"/>
                    <w:ind w:left="0" w:right="0" w:firstLine="0"/>
                    <w:jc w:val="left"/>
                    <w:rPr>
                      <w:rFonts w:ascii="Arial"/>
                      <w:sz w:val="35"/>
                    </w:rPr>
                  </w:pPr>
                  <w:r>
                    <w:rPr>
                      <w:rFonts w:ascii="Arial"/>
                      <w:color w:val="FFFFFF"/>
                      <w:sz w:val="35"/>
                      <w:shd w:fill="AA6F00" w:color="auto" w:val="clear"/>
                    </w:rPr>
                    <w:t>42</w:t>
                  </w:r>
                </w:p>
              </w:txbxContent>
            </v:textbox>
            <w10:wrap type="none"/>
          </v:shape>
        </w:pict>
      </w:r>
      <w:r>
        <w:rPr>
          <w:color w:val="AA6F00"/>
        </w:rPr>
        <w:t>docslide.us</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spacing w:before="202"/>
      </w:pPr>
      <w:r>
        <w:rPr/>
        <w:pict>
          <v:shape style="position:absolute;margin-left:49.838894pt;margin-top:21.142326pt;width:19.7pt;height:19.75pt;mso-position-horizontal-relative:page;mso-position-vertical-relative:paragraph;z-index:15809536" type="#_x0000_t202" filled="false" stroked="false">
            <v:textbox inset="0,0,0,0">
              <w:txbxContent>
                <w:p>
                  <w:pPr>
                    <w:spacing w:line="394" w:lineRule="exact" w:before="0"/>
                    <w:ind w:left="0" w:right="0" w:firstLine="0"/>
                    <w:jc w:val="left"/>
                    <w:rPr>
                      <w:rFonts w:ascii="Arial"/>
                      <w:sz w:val="35"/>
                    </w:rPr>
                  </w:pPr>
                  <w:r>
                    <w:rPr>
                      <w:rFonts w:ascii="Arial"/>
                      <w:color w:val="FFFFFF"/>
                      <w:sz w:val="35"/>
                      <w:shd w:fill="792D05" w:color="auto" w:val="clear"/>
                    </w:rPr>
                    <w:t>43</w:t>
                  </w:r>
                </w:p>
              </w:txbxContent>
            </v:textbox>
            <w10:wrap type="none"/>
          </v:shape>
        </w:pict>
      </w:r>
      <w:r>
        <w:rPr>
          <w:color w:val="792D05"/>
        </w:rPr>
        <w:t>journal.untar.ac.id</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pPr>
      <w:r>
        <w:rPr/>
        <w:pict>
          <v:shape style="position:absolute;margin-left:49.838894pt;margin-top:21.192308pt;width:19.7pt;height:19.75pt;mso-position-horizontal-relative:page;mso-position-vertical-relative:paragraph;z-index:15810048" type="#_x0000_t202" filled="false" stroked="false">
            <v:textbox inset="0,0,0,0">
              <w:txbxContent>
                <w:p>
                  <w:pPr>
                    <w:spacing w:line="394" w:lineRule="exact" w:before="0"/>
                    <w:ind w:left="0" w:right="0" w:firstLine="0"/>
                    <w:jc w:val="left"/>
                    <w:rPr>
                      <w:rFonts w:ascii="Arial"/>
                      <w:sz w:val="35"/>
                    </w:rPr>
                  </w:pPr>
                  <w:r>
                    <w:rPr>
                      <w:rFonts w:ascii="Arial"/>
                      <w:color w:val="FFFFFF"/>
                      <w:sz w:val="35"/>
                      <w:shd w:fill="054679" w:color="auto" w:val="clear"/>
                    </w:rPr>
                    <w:t>44</w:t>
                  </w:r>
                </w:p>
              </w:txbxContent>
            </v:textbox>
            <w10:wrap type="none"/>
          </v:shape>
        </w:pict>
      </w:r>
      <w:r>
        <w:rPr>
          <w:color w:val="054679"/>
        </w:rPr>
        <w:t>repository.upi.edu</w:t>
      </w:r>
    </w:p>
    <w:p>
      <w:pPr>
        <w:spacing w:before="42"/>
        <w:ind w:left="1042" w:right="0" w:firstLine="0"/>
        <w:jc w:val="left"/>
        <w:rPr>
          <w:rFonts w:ascii="Arial"/>
          <w:sz w:val="23"/>
        </w:rPr>
      </w:pPr>
      <w:r>
        <w:rPr>
          <w:rFonts w:ascii="Arial"/>
          <w:color w:val="767676"/>
          <w:sz w:val="23"/>
        </w:rPr>
        <w:t>Internet Source</w:t>
      </w:r>
    </w:p>
    <w:p>
      <w:pPr>
        <w:pStyle w:val="BodyText"/>
        <w:rPr>
          <w:rFonts w:ascii="Arial"/>
          <w:sz w:val="26"/>
        </w:rPr>
      </w:pPr>
    </w:p>
    <w:p>
      <w:pPr>
        <w:pStyle w:val="Heading1"/>
        <w:spacing w:before="202"/>
      </w:pPr>
      <w:r>
        <w:rPr/>
        <w:pict>
          <v:shape style="position:absolute;margin-left:49.838894pt;margin-top:21.142353pt;width:19.7pt;height:19.75pt;mso-position-horizontal-relative:page;mso-position-vertical-relative:paragraph;z-index:15810560" type="#_x0000_t202" filled="false" stroked="false">
            <v:textbox inset="0,0,0,0">
              <w:txbxContent>
                <w:p>
                  <w:pPr>
                    <w:spacing w:line="394" w:lineRule="exact" w:before="0"/>
                    <w:ind w:left="0" w:right="0" w:firstLine="0"/>
                    <w:jc w:val="left"/>
                    <w:rPr>
                      <w:rFonts w:ascii="Arial"/>
                      <w:sz w:val="35"/>
                    </w:rPr>
                  </w:pPr>
                  <w:r>
                    <w:rPr>
                      <w:rFonts w:ascii="Arial"/>
                      <w:color w:val="FFFFFF"/>
                      <w:sz w:val="35"/>
                      <w:shd w:fill="993399" w:color="auto" w:val="clear"/>
                    </w:rPr>
                    <w:t>45</w:t>
                  </w:r>
                </w:p>
              </w:txbxContent>
            </v:textbox>
            <w10:wrap type="none"/>
          </v:shape>
        </w:pict>
      </w:r>
      <w:r>
        <w:rPr>
          <w:color w:val="993399"/>
        </w:rPr>
        <w:t>catatanretnoanggra.blogspot.com</w:t>
      </w:r>
    </w:p>
    <w:p>
      <w:pPr>
        <w:spacing w:before="42"/>
        <w:ind w:left="1042" w:right="0" w:firstLine="0"/>
        <w:jc w:val="left"/>
        <w:rPr>
          <w:rFonts w:ascii="Arial"/>
          <w:sz w:val="23"/>
        </w:rPr>
      </w:pPr>
      <w:r>
        <w:rPr>
          <w:rFonts w:ascii="Arial"/>
          <w:color w:val="767676"/>
          <w:sz w:val="23"/>
        </w:rPr>
        <w:t>Internet Source</w:t>
      </w:r>
    </w:p>
    <w:p>
      <w:pPr>
        <w:spacing w:before="51"/>
        <w:ind w:left="196" w:right="0" w:firstLine="0"/>
        <w:jc w:val="left"/>
        <w:rPr>
          <w:rFonts w:ascii="Arial"/>
          <w:sz w:val="37"/>
        </w:rPr>
      </w:pPr>
      <w:r>
        <w:rPr/>
        <w:br w:type="column"/>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59"/>
        <w:ind w:left="196" w:right="0" w:firstLine="0"/>
        <w:jc w:val="left"/>
        <w:rPr>
          <w:rFonts w:ascii="Arial"/>
          <w:sz w:val="37"/>
        </w:rPr>
      </w:pPr>
      <w:r>
        <w:rPr/>
        <w:pict>
          <v:rect style="position:absolute;margin-left:34.468254pt;margin-top:9.486995pt;width:547.194684pt;height:.768532pt;mso-position-horizontal-relative:page;mso-position-vertical-relative:paragraph;z-index:-18110464"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196" w:right="0" w:firstLine="0"/>
        <w:jc w:val="left"/>
        <w:rPr>
          <w:rFonts w:ascii="Arial"/>
          <w:sz w:val="37"/>
        </w:rPr>
      </w:pPr>
      <w:r>
        <w:rPr/>
        <w:pict>
          <v:rect style="position:absolute;margin-left:34.468254pt;margin-top:9.537038pt;width:547.194684pt;height:.768532pt;mso-position-horizontal-relative:page;mso-position-vertical-relative:paragraph;z-index:15808000"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before="360"/>
        <w:ind w:left="196" w:right="0" w:firstLine="0"/>
        <w:jc w:val="left"/>
        <w:rPr>
          <w:rFonts w:ascii="Arial"/>
          <w:sz w:val="37"/>
        </w:rPr>
      </w:pPr>
      <w:r>
        <w:rPr/>
        <w:pict>
          <v:rect style="position:absolute;margin-left:34.468254pt;margin-top:9.53702pt;width:547.194684pt;height:.768532pt;mso-position-horizontal-relative:page;mso-position-vertical-relative:paragraph;z-index:-18109440" filled="true" fillcolor="#999999" stroked="false">
            <v:fill type="solid"/>
            <w10:wrap type="none"/>
          </v:rect>
        </w:pict>
      </w:r>
      <w:r>
        <w:rPr>
          <w:rFonts w:ascii="Arial"/>
          <w:color w:val="333333"/>
          <w:spacing w:val="-6"/>
          <w:w w:val="100"/>
          <w:sz w:val="61"/>
        </w:rPr>
        <w:t>&lt;</w:t>
      </w:r>
      <w:r>
        <w:rPr>
          <w:rFonts w:ascii="Arial"/>
          <w:color w:val="333333"/>
          <w:spacing w:val="2"/>
          <w:w w:val="99"/>
          <w:sz w:val="77"/>
        </w:rPr>
        <w:t>1</w:t>
      </w:r>
      <w:r>
        <w:rPr>
          <w:rFonts w:ascii="Arial"/>
          <w:color w:val="333333"/>
          <w:w w:val="99"/>
          <w:sz w:val="37"/>
        </w:rPr>
        <w:t>%</w:t>
      </w:r>
    </w:p>
    <w:p>
      <w:pPr>
        <w:spacing w:after="0"/>
        <w:jc w:val="left"/>
        <w:rPr>
          <w:rFonts w:ascii="Arial"/>
          <w:sz w:val="37"/>
        </w:rPr>
        <w:sectPr>
          <w:footerReference w:type="default" r:id="rId40"/>
          <w:pgSz w:w="12240" w:h="15840"/>
          <w:pgMar w:footer="0" w:header="0" w:top="500" w:bottom="280" w:left="800" w:right="500"/>
          <w:cols w:num="2" w:equalWidth="0">
            <w:col w:w="6803" w:space="2727"/>
            <w:col w:w="1410"/>
          </w:cols>
        </w:sectPr>
      </w:pPr>
    </w:p>
    <w:p>
      <w:pPr>
        <w:pStyle w:val="BodyText"/>
        <w:spacing w:before="6"/>
        <w:rPr>
          <w:rFonts w:ascii="Arial"/>
          <w:sz w:val="16"/>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999999" stroked="false">
              <v:fill type="solid"/>
            </v:rect>
          </v:group>
        </w:pict>
      </w:r>
      <w:r>
        <w:rPr>
          <w:rFonts w:ascii="Arial"/>
          <w:sz w:val="2"/>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3"/>
        </w:rPr>
      </w:pPr>
    </w:p>
    <w:p>
      <w:pPr>
        <w:pStyle w:val="BodyText"/>
        <w:spacing w:line="20" w:lineRule="exact"/>
        <w:ind w:left="-111"/>
        <w:rPr>
          <w:rFonts w:ascii="Arial"/>
          <w:sz w:val="2"/>
        </w:rPr>
      </w:pPr>
      <w:r>
        <w:rPr>
          <w:rFonts w:ascii="Arial"/>
          <w:sz w:val="2"/>
        </w:rPr>
        <w:pict>
          <v:group style="width:547.2pt;height:.8pt;mso-position-horizontal-relative:char;mso-position-vertical-relative:line" coordorigin="0,0" coordsize="10944,16">
            <v:rect style="position:absolute;left:0;top:0;width:10944;height:16" filled="true" fillcolor="#cccccc" stroked="false">
              <v:fill type="solid"/>
            </v:rect>
          </v:group>
        </w:pict>
      </w:r>
      <w:r>
        <w:rPr>
          <w:rFonts w:ascii="Arial"/>
          <w:sz w:val="2"/>
        </w:rPr>
      </w:r>
    </w:p>
    <w:p>
      <w:pPr>
        <w:pStyle w:val="BodyText"/>
        <w:spacing w:before="8"/>
        <w:rPr>
          <w:rFonts w:ascii="Arial"/>
          <w:sz w:val="8"/>
        </w:rPr>
      </w:pPr>
    </w:p>
    <w:p>
      <w:pPr>
        <w:spacing w:after="0"/>
        <w:rPr>
          <w:rFonts w:ascii="Arial"/>
          <w:sz w:val="8"/>
        </w:rPr>
        <w:sectPr>
          <w:type w:val="continuous"/>
          <w:pgSz w:w="12240" w:h="15840"/>
          <w:pgMar w:top="1580" w:bottom="280" w:left="800" w:right="500"/>
        </w:sectPr>
      </w:pPr>
    </w:p>
    <w:p>
      <w:pPr>
        <w:tabs>
          <w:tab w:pos="2609" w:val="left" w:leader="none"/>
        </w:tabs>
        <w:spacing w:line="396" w:lineRule="auto" w:before="98"/>
        <w:ind w:left="196" w:right="38" w:firstLine="0"/>
        <w:jc w:val="left"/>
        <w:rPr>
          <w:rFonts w:ascii="Arial"/>
          <w:sz w:val="21"/>
        </w:rPr>
      </w:pPr>
      <w:r>
        <w:rPr>
          <w:rFonts w:ascii="Arial"/>
          <w:color w:val="666666"/>
          <w:sz w:val="21"/>
        </w:rPr>
        <w:t>Exclude</w:t>
      </w:r>
      <w:r>
        <w:rPr>
          <w:rFonts w:ascii="Arial"/>
          <w:color w:val="666666"/>
          <w:spacing w:val="9"/>
          <w:sz w:val="21"/>
        </w:rPr>
        <w:t> </w:t>
      </w:r>
      <w:r>
        <w:rPr>
          <w:rFonts w:ascii="Arial"/>
          <w:color w:val="666666"/>
          <w:sz w:val="21"/>
        </w:rPr>
        <w:t>quotes</w:t>
        <w:tab/>
      </w:r>
      <w:r>
        <w:rPr>
          <w:rFonts w:ascii="Arial"/>
          <w:color w:val="999999"/>
          <w:spacing w:val="-10"/>
          <w:sz w:val="21"/>
        </w:rPr>
        <w:t>On </w:t>
      </w:r>
      <w:r>
        <w:rPr>
          <w:rFonts w:ascii="Arial"/>
          <w:color w:val="666666"/>
          <w:sz w:val="21"/>
        </w:rPr>
        <w:t>Exclude</w:t>
      </w:r>
      <w:r>
        <w:rPr>
          <w:rFonts w:ascii="Arial"/>
          <w:color w:val="666666"/>
          <w:spacing w:val="11"/>
          <w:sz w:val="21"/>
        </w:rPr>
        <w:t> </w:t>
      </w:r>
      <w:r>
        <w:rPr>
          <w:rFonts w:ascii="Arial"/>
          <w:color w:val="666666"/>
          <w:sz w:val="21"/>
        </w:rPr>
        <w:t>bibliography</w:t>
        <w:tab/>
      </w:r>
      <w:r>
        <w:rPr>
          <w:rFonts w:ascii="Arial"/>
          <w:color w:val="999999"/>
          <w:spacing w:val="-10"/>
          <w:sz w:val="21"/>
        </w:rPr>
        <w:t>On</w:t>
      </w:r>
    </w:p>
    <w:p>
      <w:pPr>
        <w:tabs>
          <w:tab w:pos="2609" w:val="left" w:leader="none"/>
        </w:tabs>
        <w:spacing w:before="98"/>
        <w:ind w:left="196" w:right="0" w:firstLine="0"/>
        <w:jc w:val="left"/>
        <w:rPr>
          <w:rFonts w:ascii="Arial"/>
          <w:sz w:val="21"/>
        </w:rPr>
      </w:pPr>
      <w:r>
        <w:rPr/>
        <w:br w:type="column"/>
      </w:r>
      <w:r>
        <w:rPr>
          <w:rFonts w:ascii="Arial"/>
          <w:color w:val="666666"/>
          <w:sz w:val="21"/>
        </w:rPr>
        <w:t>Exclude</w:t>
      </w:r>
      <w:r>
        <w:rPr>
          <w:rFonts w:ascii="Arial"/>
          <w:color w:val="666666"/>
          <w:spacing w:val="10"/>
          <w:sz w:val="21"/>
        </w:rPr>
        <w:t> </w:t>
      </w:r>
      <w:r>
        <w:rPr>
          <w:rFonts w:ascii="Arial"/>
          <w:color w:val="666666"/>
          <w:sz w:val="21"/>
        </w:rPr>
        <w:t>matches</w:t>
        <w:tab/>
      </w:r>
      <w:r>
        <w:rPr>
          <w:rFonts w:ascii="Arial"/>
          <w:color w:val="999999"/>
          <w:sz w:val="21"/>
        </w:rPr>
        <w:t>&lt; 25</w:t>
      </w:r>
      <w:r>
        <w:rPr>
          <w:rFonts w:ascii="Arial"/>
          <w:color w:val="999999"/>
          <w:spacing w:val="3"/>
          <w:sz w:val="21"/>
        </w:rPr>
        <w:t> </w:t>
      </w:r>
      <w:r>
        <w:rPr>
          <w:rFonts w:ascii="Arial"/>
          <w:color w:val="999999"/>
          <w:sz w:val="21"/>
        </w:rPr>
        <w:t>words</w:t>
      </w:r>
    </w:p>
    <w:p>
      <w:pPr>
        <w:spacing w:after="0"/>
        <w:jc w:val="left"/>
        <w:rPr>
          <w:rFonts w:ascii="Arial"/>
          <w:sz w:val="21"/>
        </w:rPr>
        <w:sectPr>
          <w:type w:val="continuous"/>
          <w:pgSz w:w="12240" w:h="15840"/>
          <w:pgMar w:top="1580" w:bottom="280" w:left="800" w:right="500"/>
          <w:cols w:num="2" w:equalWidth="0">
            <w:col w:w="2937" w:space="2473"/>
            <w:col w:w="5530"/>
          </w:cols>
        </w:sectPr>
      </w:pPr>
    </w:p>
    <w:p>
      <w:pPr>
        <w:pStyle w:val="BodyText"/>
        <w:rPr>
          <w:rFonts w:ascii="Arial"/>
          <w:sz w:val="20"/>
        </w:rPr>
      </w:pPr>
    </w:p>
    <w:p>
      <w:pPr>
        <w:pStyle w:val="BodyText"/>
        <w:rPr>
          <w:rFonts w:ascii="Arial"/>
          <w:sz w:val="20"/>
        </w:rPr>
      </w:pPr>
    </w:p>
    <w:p>
      <w:pPr>
        <w:pStyle w:val="Heading2"/>
        <w:spacing w:before="208"/>
        <w:ind w:left="3172" w:right="2607"/>
      </w:pPr>
      <w:r>
        <w:rPr/>
        <w:t>CURICULUM VITAE</w:t>
      </w:r>
    </w:p>
    <w:p>
      <w:pPr>
        <w:pStyle w:val="BodyText"/>
        <w:rPr>
          <w:b/>
          <w:sz w:val="20"/>
        </w:rPr>
      </w:pPr>
    </w:p>
    <w:p>
      <w:pPr>
        <w:pStyle w:val="BodyText"/>
        <w:rPr>
          <w:b/>
          <w:sz w:val="22"/>
        </w:rPr>
      </w:pPr>
    </w:p>
    <w:p>
      <w:pPr>
        <w:pStyle w:val="Heading3"/>
        <w:numPr>
          <w:ilvl w:val="1"/>
          <w:numId w:val="34"/>
        </w:numPr>
        <w:tabs>
          <w:tab w:pos="1309" w:val="left" w:leader="none"/>
        </w:tabs>
        <w:spacing w:line="240" w:lineRule="auto" w:before="0" w:after="0"/>
        <w:ind w:left="1308" w:right="0" w:hanging="361"/>
        <w:jc w:val="left"/>
      </w:pPr>
      <w:r>
        <w:rPr/>
        <w:drawing>
          <wp:anchor distT="0" distB="0" distL="0" distR="0" allowOverlap="1" layoutInCell="1" locked="0" behindDoc="0" simplePos="0" relativeHeight="15811072">
            <wp:simplePos x="0" y="0"/>
            <wp:positionH relativeFrom="page">
              <wp:posOffset>5276850</wp:posOffset>
            </wp:positionH>
            <wp:positionV relativeFrom="paragraph">
              <wp:posOffset>11723</wp:posOffset>
            </wp:positionV>
            <wp:extent cx="1019175" cy="1000125"/>
            <wp:effectExtent l="0" t="0" r="0" b="0"/>
            <wp:wrapNone/>
            <wp:docPr id="29" name="image13.jpeg" descr="C:\Users\acer\Documents\20200829_102639.jpg"/>
            <wp:cNvGraphicFramePr>
              <a:graphicFrameLocks noChangeAspect="1"/>
            </wp:cNvGraphicFramePr>
            <a:graphic>
              <a:graphicData uri="http://schemas.openxmlformats.org/drawingml/2006/picture">
                <pic:pic>
                  <pic:nvPicPr>
                    <pic:cNvPr id="30" name="image13.jpeg"/>
                    <pic:cNvPicPr/>
                  </pic:nvPicPr>
                  <pic:blipFill>
                    <a:blip r:embed="rId42" cstate="print"/>
                    <a:stretch>
                      <a:fillRect/>
                    </a:stretch>
                  </pic:blipFill>
                  <pic:spPr>
                    <a:xfrm>
                      <a:off x="0" y="0"/>
                      <a:ext cx="1019175" cy="1000125"/>
                    </a:xfrm>
                    <a:prstGeom prst="rect">
                      <a:avLst/>
                    </a:prstGeom>
                  </pic:spPr>
                </pic:pic>
              </a:graphicData>
            </a:graphic>
          </wp:anchor>
        </w:drawing>
      </w:r>
      <w:r>
        <w:rPr/>
        <w:t>Biodata</w:t>
      </w:r>
      <w:r>
        <w:rPr>
          <w:spacing w:val="-1"/>
        </w:rPr>
        <w:t> </w:t>
      </w:r>
      <w:r>
        <w:rPr/>
        <w:t>Pribadi</w:t>
      </w:r>
    </w:p>
    <w:p>
      <w:pPr>
        <w:pStyle w:val="BodyText"/>
        <w:rPr>
          <w:b/>
          <w:sz w:val="26"/>
        </w:rPr>
      </w:pPr>
    </w:p>
    <w:p>
      <w:pPr>
        <w:pStyle w:val="BodyText"/>
        <w:rPr>
          <w:b/>
          <w:sz w:val="26"/>
        </w:rPr>
      </w:pPr>
    </w:p>
    <w:p>
      <w:pPr>
        <w:pStyle w:val="ListParagraph"/>
        <w:numPr>
          <w:ilvl w:val="2"/>
          <w:numId w:val="34"/>
        </w:numPr>
        <w:tabs>
          <w:tab w:pos="1669" w:val="left" w:leader="none"/>
          <w:tab w:pos="4188" w:val="left" w:leader="none"/>
        </w:tabs>
        <w:spacing w:line="240" w:lineRule="auto" w:before="225" w:after="0"/>
        <w:ind w:left="1668" w:right="0" w:hanging="361"/>
        <w:jc w:val="left"/>
        <w:rPr>
          <w:sz w:val="24"/>
        </w:rPr>
      </w:pPr>
      <w:r>
        <w:rPr>
          <w:sz w:val="24"/>
        </w:rPr>
        <w:t>Nama</w:t>
        <w:tab/>
        <w:t>: Susilvia</w:t>
      </w:r>
      <w:r>
        <w:rPr>
          <w:spacing w:val="-1"/>
          <w:sz w:val="24"/>
        </w:rPr>
        <w:t> </w:t>
      </w:r>
      <w:r>
        <w:rPr>
          <w:sz w:val="24"/>
        </w:rPr>
        <w:t>Indrarani</w:t>
      </w:r>
    </w:p>
    <w:p>
      <w:pPr>
        <w:pStyle w:val="BodyText"/>
      </w:pPr>
    </w:p>
    <w:p>
      <w:pPr>
        <w:pStyle w:val="BodyText"/>
        <w:tabs>
          <w:tab w:pos="4188" w:val="left" w:leader="none"/>
        </w:tabs>
        <w:ind w:left="1308"/>
      </w:pPr>
      <w:r>
        <w:rPr/>
        <w:t>2.   Nim</w:t>
        <w:tab/>
        <w:t>: E2116178</w:t>
      </w:r>
    </w:p>
    <w:p>
      <w:pPr>
        <w:pStyle w:val="BodyText"/>
        <w:spacing w:before="1"/>
      </w:pPr>
    </w:p>
    <w:p>
      <w:pPr>
        <w:pStyle w:val="ListParagraph"/>
        <w:numPr>
          <w:ilvl w:val="0"/>
          <w:numId w:val="35"/>
        </w:numPr>
        <w:tabs>
          <w:tab w:pos="1669" w:val="left" w:leader="none"/>
          <w:tab w:pos="4188" w:val="left" w:leader="none"/>
        </w:tabs>
        <w:spacing w:line="240" w:lineRule="auto" w:before="0" w:after="0"/>
        <w:ind w:left="1668" w:right="0" w:hanging="361"/>
        <w:jc w:val="left"/>
        <w:rPr>
          <w:sz w:val="24"/>
        </w:rPr>
      </w:pPr>
      <w:r>
        <w:rPr>
          <w:sz w:val="24"/>
        </w:rPr>
        <w:t>Jenis</w:t>
      </w:r>
      <w:r>
        <w:rPr>
          <w:spacing w:val="-1"/>
          <w:sz w:val="24"/>
        </w:rPr>
        <w:t> </w:t>
      </w:r>
      <w:r>
        <w:rPr>
          <w:sz w:val="24"/>
        </w:rPr>
        <w:t>Kelamin</w:t>
        <w:tab/>
        <w:t>: Perempuan</w:t>
      </w:r>
    </w:p>
    <w:p>
      <w:pPr>
        <w:pStyle w:val="BodyText"/>
      </w:pPr>
    </w:p>
    <w:p>
      <w:pPr>
        <w:pStyle w:val="ListParagraph"/>
        <w:numPr>
          <w:ilvl w:val="0"/>
          <w:numId w:val="35"/>
        </w:numPr>
        <w:tabs>
          <w:tab w:pos="1669" w:val="left" w:leader="none"/>
          <w:tab w:pos="4188" w:val="left" w:leader="none"/>
        </w:tabs>
        <w:spacing w:line="240" w:lineRule="auto" w:before="0" w:after="0"/>
        <w:ind w:left="1668" w:right="0" w:hanging="361"/>
        <w:jc w:val="left"/>
        <w:rPr>
          <w:sz w:val="24"/>
        </w:rPr>
      </w:pPr>
      <w:r>
        <w:rPr>
          <w:sz w:val="24"/>
        </w:rPr>
        <w:t>Tempat</w:t>
      </w:r>
      <w:r>
        <w:rPr>
          <w:spacing w:val="-2"/>
          <w:sz w:val="24"/>
        </w:rPr>
        <w:t> </w:t>
      </w:r>
      <w:r>
        <w:rPr>
          <w:sz w:val="24"/>
        </w:rPr>
        <w:t>Tanggal Lahir</w:t>
        <w:tab/>
        <w:t>: Sidodadi, 07 Nov 1996</w:t>
      </w:r>
    </w:p>
    <w:p>
      <w:pPr>
        <w:pStyle w:val="BodyText"/>
      </w:pPr>
    </w:p>
    <w:p>
      <w:pPr>
        <w:pStyle w:val="ListParagraph"/>
        <w:numPr>
          <w:ilvl w:val="0"/>
          <w:numId w:val="35"/>
        </w:numPr>
        <w:tabs>
          <w:tab w:pos="1669" w:val="left" w:leader="none"/>
          <w:tab w:pos="4188" w:val="left" w:leader="none"/>
        </w:tabs>
        <w:spacing w:line="240" w:lineRule="auto" w:before="0" w:after="0"/>
        <w:ind w:left="1668" w:right="0" w:hanging="361"/>
        <w:jc w:val="left"/>
        <w:rPr>
          <w:sz w:val="24"/>
        </w:rPr>
      </w:pPr>
      <w:r>
        <w:rPr>
          <w:sz w:val="24"/>
        </w:rPr>
        <w:t>Agama</w:t>
        <w:tab/>
        <w:t>:</w:t>
      </w:r>
      <w:r>
        <w:rPr>
          <w:spacing w:val="1"/>
          <w:sz w:val="24"/>
        </w:rPr>
        <w:t> </w:t>
      </w:r>
      <w:r>
        <w:rPr>
          <w:sz w:val="24"/>
        </w:rPr>
        <w:t>Islam</w:t>
      </w:r>
    </w:p>
    <w:p>
      <w:pPr>
        <w:pStyle w:val="BodyText"/>
        <w:spacing w:before="2"/>
        <w:rPr>
          <w:sz w:val="16"/>
        </w:rPr>
      </w:pPr>
    </w:p>
    <w:p>
      <w:pPr>
        <w:pStyle w:val="ListParagraph"/>
        <w:numPr>
          <w:ilvl w:val="0"/>
          <w:numId w:val="35"/>
        </w:numPr>
        <w:tabs>
          <w:tab w:pos="1669" w:val="left" w:leader="none"/>
          <w:tab w:pos="4188" w:val="left" w:leader="none"/>
        </w:tabs>
        <w:spacing w:line="480" w:lineRule="auto" w:before="90" w:after="0"/>
        <w:ind w:left="4249" w:right="102" w:hanging="2941"/>
        <w:jc w:val="left"/>
        <w:rPr>
          <w:sz w:val="24"/>
        </w:rPr>
      </w:pPr>
      <w:r>
        <w:rPr>
          <w:sz w:val="24"/>
        </w:rPr>
        <w:t>Alamat</w:t>
        <w:tab/>
        <w:t>: Desa Bandung Rejo, Kecamatan Boliyohuto, Kabupaten Gorontalo, Provinsi Gorontalo.</w:t>
      </w:r>
    </w:p>
    <w:p>
      <w:pPr>
        <w:pStyle w:val="BodyText"/>
        <w:tabs>
          <w:tab w:pos="4188" w:val="left" w:leader="none"/>
        </w:tabs>
        <w:spacing w:before="1"/>
        <w:ind w:left="1308"/>
      </w:pPr>
      <w:r>
        <w:rPr/>
        <w:t>7. </w:t>
      </w:r>
      <w:r>
        <w:rPr>
          <w:spacing w:val="59"/>
        </w:rPr>
        <w:t> </w:t>
      </w:r>
      <w:r>
        <w:rPr/>
        <w:t>No. Hp</w:t>
        <w:tab/>
        <w:t>: 0822-9667-6615</w:t>
      </w:r>
    </w:p>
    <w:p>
      <w:pPr>
        <w:pStyle w:val="BodyText"/>
        <w:spacing w:before="11"/>
        <w:rPr>
          <w:sz w:val="23"/>
        </w:rPr>
      </w:pPr>
    </w:p>
    <w:p>
      <w:pPr>
        <w:pStyle w:val="BodyText"/>
        <w:tabs>
          <w:tab w:pos="4188" w:val="left" w:leader="none"/>
        </w:tabs>
        <w:ind w:left="1308"/>
      </w:pPr>
      <w:r>
        <w:rPr/>
        <w:t>8. </w:t>
      </w:r>
      <w:r>
        <w:rPr>
          <w:spacing w:val="59"/>
        </w:rPr>
        <w:t> </w:t>
      </w:r>
      <w:r>
        <w:rPr/>
        <w:t>Email</w:t>
        <w:tab/>
        <w:t>:</w:t>
      </w:r>
      <w:hyperlink r:id="rId43">
        <w:r>
          <w:rPr>
            <w:color w:val="0462C1"/>
          </w:rPr>
          <w:t> </w:t>
        </w:r>
        <w:r>
          <w:rPr>
            <w:color w:val="0462C1"/>
            <w:u w:val="single" w:color="0462C1"/>
          </w:rPr>
          <w:t>susilviaindrarani22@gmail.com</w:t>
        </w:r>
      </w:hyperlink>
    </w:p>
    <w:p>
      <w:pPr>
        <w:pStyle w:val="BodyText"/>
        <w:rPr>
          <w:sz w:val="20"/>
        </w:rPr>
      </w:pPr>
    </w:p>
    <w:p>
      <w:pPr>
        <w:pStyle w:val="BodyText"/>
        <w:rPr>
          <w:sz w:val="20"/>
        </w:rPr>
      </w:pPr>
    </w:p>
    <w:p>
      <w:pPr>
        <w:pStyle w:val="BodyText"/>
        <w:spacing w:before="7"/>
      </w:pPr>
    </w:p>
    <w:p>
      <w:pPr>
        <w:pStyle w:val="Heading3"/>
        <w:numPr>
          <w:ilvl w:val="1"/>
          <w:numId w:val="34"/>
        </w:numPr>
        <w:tabs>
          <w:tab w:pos="1309" w:val="left" w:leader="none"/>
        </w:tabs>
        <w:spacing w:line="240" w:lineRule="auto" w:before="90" w:after="0"/>
        <w:ind w:left="1308" w:right="0" w:hanging="361"/>
        <w:jc w:val="left"/>
      </w:pPr>
      <w:r>
        <w:rPr/>
        <w:t>Riwayat</w:t>
      </w:r>
      <w:r>
        <w:rPr>
          <w:spacing w:val="-1"/>
        </w:rPr>
        <w:t> </w:t>
      </w:r>
      <w:r>
        <w:rPr/>
        <w:t>Pendidikan</w:t>
      </w:r>
    </w:p>
    <w:p>
      <w:pPr>
        <w:pStyle w:val="BodyText"/>
        <w:rPr>
          <w:b/>
          <w:sz w:val="26"/>
        </w:rPr>
      </w:pPr>
    </w:p>
    <w:p>
      <w:pPr>
        <w:pStyle w:val="BodyText"/>
        <w:rPr>
          <w:b/>
          <w:sz w:val="26"/>
        </w:rPr>
      </w:pPr>
    </w:p>
    <w:p>
      <w:pPr>
        <w:pStyle w:val="ListParagraph"/>
        <w:numPr>
          <w:ilvl w:val="2"/>
          <w:numId w:val="34"/>
        </w:numPr>
        <w:tabs>
          <w:tab w:pos="1669" w:val="left" w:leader="none"/>
          <w:tab w:pos="4188" w:val="left" w:leader="none"/>
        </w:tabs>
        <w:spacing w:line="240" w:lineRule="auto" w:before="225" w:after="0"/>
        <w:ind w:left="1668" w:right="0" w:hanging="361"/>
        <w:jc w:val="left"/>
        <w:rPr>
          <w:sz w:val="24"/>
        </w:rPr>
      </w:pPr>
      <w:r>
        <w:rPr>
          <w:sz w:val="24"/>
        </w:rPr>
        <w:t>SD</w:t>
        <w:tab/>
        <w:t>: SDN 01 Bandung Rejo</w:t>
      </w:r>
      <w:r>
        <w:rPr>
          <w:spacing w:val="-3"/>
          <w:sz w:val="24"/>
        </w:rPr>
        <w:t> </w:t>
      </w:r>
      <w:r>
        <w:rPr>
          <w:sz w:val="24"/>
        </w:rPr>
        <w:t>2003-2009</w:t>
      </w:r>
    </w:p>
    <w:p>
      <w:pPr>
        <w:pStyle w:val="BodyText"/>
      </w:pPr>
    </w:p>
    <w:p>
      <w:pPr>
        <w:pStyle w:val="ListParagraph"/>
        <w:numPr>
          <w:ilvl w:val="2"/>
          <w:numId w:val="34"/>
        </w:numPr>
        <w:tabs>
          <w:tab w:pos="1669" w:val="left" w:leader="none"/>
          <w:tab w:pos="4188" w:val="left" w:leader="none"/>
        </w:tabs>
        <w:spacing w:line="240" w:lineRule="auto" w:before="0" w:after="0"/>
        <w:ind w:left="1668" w:right="0" w:hanging="361"/>
        <w:jc w:val="left"/>
        <w:rPr>
          <w:sz w:val="24"/>
        </w:rPr>
      </w:pPr>
      <w:r>
        <w:rPr>
          <w:sz w:val="24"/>
        </w:rPr>
        <w:t>SLTP</w:t>
      </w:r>
      <w:r>
        <w:rPr>
          <w:spacing w:val="-2"/>
          <w:sz w:val="24"/>
        </w:rPr>
        <w:t> </w:t>
      </w:r>
      <w:r>
        <w:rPr>
          <w:sz w:val="24"/>
        </w:rPr>
        <w:t>Sederajat</w:t>
        <w:tab/>
        <w:t>: SMP Negeri 01 Mootilango</w:t>
      </w:r>
      <w:r>
        <w:rPr>
          <w:spacing w:val="-2"/>
          <w:sz w:val="24"/>
        </w:rPr>
        <w:t> </w:t>
      </w:r>
      <w:r>
        <w:rPr>
          <w:sz w:val="24"/>
        </w:rPr>
        <w:t>2009-2012</w:t>
      </w:r>
    </w:p>
    <w:p>
      <w:pPr>
        <w:pStyle w:val="BodyText"/>
        <w:spacing w:before="1"/>
      </w:pPr>
    </w:p>
    <w:p>
      <w:pPr>
        <w:pStyle w:val="ListParagraph"/>
        <w:numPr>
          <w:ilvl w:val="2"/>
          <w:numId w:val="34"/>
        </w:numPr>
        <w:tabs>
          <w:tab w:pos="1669" w:val="left" w:leader="none"/>
          <w:tab w:pos="4188" w:val="left" w:leader="none"/>
        </w:tabs>
        <w:spacing w:line="240" w:lineRule="auto" w:before="0" w:after="0"/>
        <w:ind w:left="1668" w:right="0" w:hanging="361"/>
        <w:jc w:val="left"/>
        <w:rPr>
          <w:sz w:val="24"/>
        </w:rPr>
      </w:pPr>
      <w:r>
        <w:rPr>
          <w:sz w:val="24"/>
        </w:rPr>
        <w:t>SLTA</w:t>
      </w:r>
      <w:r>
        <w:rPr>
          <w:spacing w:val="56"/>
          <w:sz w:val="24"/>
        </w:rPr>
        <w:t> </w:t>
      </w:r>
      <w:r>
        <w:rPr>
          <w:sz w:val="24"/>
        </w:rPr>
        <w:t>Sederajat</w:t>
        <w:tab/>
        <w:t>: SMK Negeri 01 Mootilango</w:t>
      </w:r>
      <w:r>
        <w:rPr>
          <w:spacing w:val="-1"/>
          <w:sz w:val="24"/>
        </w:rPr>
        <w:t> </w:t>
      </w:r>
      <w:r>
        <w:rPr>
          <w:sz w:val="24"/>
        </w:rPr>
        <w:t>2012-2015</w:t>
      </w:r>
    </w:p>
    <w:p>
      <w:pPr>
        <w:pStyle w:val="BodyText"/>
      </w:pPr>
    </w:p>
    <w:p>
      <w:pPr>
        <w:pStyle w:val="ListParagraph"/>
        <w:numPr>
          <w:ilvl w:val="2"/>
          <w:numId w:val="34"/>
        </w:numPr>
        <w:tabs>
          <w:tab w:pos="1669" w:val="left" w:leader="none"/>
          <w:tab w:pos="4188" w:val="left" w:leader="none"/>
        </w:tabs>
        <w:spacing w:line="240" w:lineRule="auto" w:before="0" w:after="0"/>
        <w:ind w:left="1668" w:right="0" w:hanging="361"/>
        <w:jc w:val="left"/>
        <w:rPr>
          <w:sz w:val="24"/>
        </w:rPr>
      </w:pPr>
      <w:r>
        <w:rPr>
          <w:sz w:val="24"/>
        </w:rPr>
        <w:t>Perguruan</w:t>
      </w:r>
      <w:r>
        <w:rPr>
          <w:spacing w:val="-2"/>
          <w:sz w:val="24"/>
        </w:rPr>
        <w:t> </w:t>
      </w:r>
      <w:r>
        <w:rPr>
          <w:sz w:val="24"/>
        </w:rPr>
        <w:t>Tinggi</w:t>
        <w:tab/>
        <w:t>: Universitas Ichsan Gorontalo Fakultas</w:t>
      </w:r>
    </w:p>
    <w:p>
      <w:pPr>
        <w:pStyle w:val="BodyText"/>
      </w:pPr>
    </w:p>
    <w:p>
      <w:pPr>
        <w:pStyle w:val="BodyText"/>
        <w:spacing w:line="480" w:lineRule="auto"/>
        <w:ind w:left="4309" w:right="399"/>
      </w:pPr>
      <w:r>
        <w:rPr/>
        <w:t>Ekonomi Program Studi S1 Manajemen 2015-2020</w:t>
      </w:r>
    </w:p>
    <w:sectPr>
      <w:footerReference w:type="default" r:id="rId41"/>
      <w:pgSz w:w="11910" w:h="16840"/>
      <w:pgMar w:footer="0" w:head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2.640015pt;margin-top:781.015991pt;width:18.6pt;height:13.05pt;mso-position-horizontal-relative:page;mso-position-vertical-relative:page;z-index:-1818931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359985pt;margin-top:781.015991pt;width:17.05pt;height:13.05pt;mso-position-horizontal-relative:page;mso-position-vertical-relative:page;z-index:-1818675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55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8.160004pt;margin-top:534.536011pt;width:17.05pt;height:13.05pt;mso-position-horizontal-relative:page;mso-position-vertical-relative:page;z-index:-1818624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75.019989pt;margin-top:781.015991pt;width:17.05pt;height:13.05pt;mso-position-horizontal-relative:page;mso-position-vertical-relative:page;z-index:-181857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65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pt;margin-top:781.015991pt;width:11.6pt;height:13.05pt;mso-position-horizontal-relative:page;mso-position-vertical-relative:page;z-index:-1818880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359985pt;margin-top:781.015991pt;width:17.05pt;height:13.05pt;mso-position-horizontal-relative:page;mso-position-vertical-relative:page;z-index:-1818828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359985pt;margin-top:781.015991pt;width:17.05pt;height:13.05pt;mso-position-horizontal-relative:page;mso-position-vertical-relative:page;z-index:-1818777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359985pt;margin-top:781.015991pt;width:17.05pt;height:13.05pt;mso-position-horizontal-relative:page;mso-position-vertical-relative:page;z-index:-1818726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decimal"/>
      <w:lvlText w:val="%1."/>
      <w:lvlJc w:val="left"/>
      <w:pPr>
        <w:ind w:left="1157" w:hanging="356"/>
        <w:jc w:val="left"/>
      </w:pPr>
      <w:rPr>
        <w:rFonts w:hint="default" w:ascii="Arial" w:hAnsi="Arial" w:eastAsia="Arial" w:cs="Arial"/>
        <w:spacing w:val="-2"/>
        <w:w w:val="100"/>
        <w:sz w:val="24"/>
        <w:szCs w:val="24"/>
        <w:lang w:val="id" w:eastAsia="en-US" w:bidi="ar-SA"/>
      </w:rPr>
    </w:lvl>
    <w:lvl w:ilvl="1">
      <w:start w:val="1"/>
      <w:numFmt w:val="upperLetter"/>
      <w:lvlText w:val="%2."/>
      <w:lvlJc w:val="left"/>
      <w:pPr>
        <w:ind w:left="1308" w:hanging="360"/>
        <w:jc w:val="left"/>
      </w:pPr>
      <w:rPr>
        <w:rFonts w:hint="default" w:ascii="Times New Roman" w:hAnsi="Times New Roman" w:eastAsia="Times New Roman" w:cs="Times New Roman"/>
        <w:b/>
        <w:bCs/>
        <w:spacing w:val="-1"/>
        <w:w w:val="99"/>
        <w:sz w:val="24"/>
        <w:szCs w:val="24"/>
        <w:lang w:val="id" w:eastAsia="en-US" w:bidi="ar-SA"/>
      </w:rPr>
    </w:lvl>
    <w:lvl w:ilvl="2">
      <w:start w:val="1"/>
      <w:numFmt w:val="decimal"/>
      <w:lvlText w:val="%3."/>
      <w:lvlJc w:val="left"/>
      <w:pPr>
        <w:ind w:left="1668" w:hanging="360"/>
        <w:jc w:val="left"/>
      </w:pPr>
      <w:rPr>
        <w:rFonts w:hint="default" w:ascii="Times New Roman" w:hAnsi="Times New Roman" w:eastAsia="Times New Roman" w:cs="Times New Roman"/>
        <w:spacing w:val="-6"/>
        <w:w w:val="99"/>
        <w:sz w:val="24"/>
        <w:szCs w:val="24"/>
        <w:lang w:val="id" w:eastAsia="en-US" w:bidi="ar-SA"/>
      </w:rPr>
    </w:lvl>
    <w:lvl w:ilvl="3">
      <w:start w:val="0"/>
      <w:numFmt w:val="bullet"/>
      <w:lvlText w:val="•"/>
      <w:lvlJc w:val="left"/>
      <w:pPr>
        <w:ind w:left="2520" w:hanging="360"/>
      </w:pPr>
      <w:rPr>
        <w:rFonts w:hint="default"/>
        <w:lang w:val="id" w:eastAsia="en-US" w:bidi="ar-SA"/>
      </w:rPr>
    </w:lvl>
    <w:lvl w:ilvl="4">
      <w:start w:val="0"/>
      <w:numFmt w:val="bullet"/>
      <w:lvlText w:val="•"/>
      <w:lvlJc w:val="left"/>
      <w:pPr>
        <w:ind w:left="3381" w:hanging="360"/>
      </w:pPr>
      <w:rPr>
        <w:rFonts w:hint="default"/>
        <w:lang w:val="id" w:eastAsia="en-US" w:bidi="ar-SA"/>
      </w:rPr>
    </w:lvl>
    <w:lvl w:ilvl="5">
      <w:start w:val="0"/>
      <w:numFmt w:val="bullet"/>
      <w:lvlText w:val="•"/>
      <w:lvlJc w:val="left"/>
      <w:pPr>
        <w:ind w:left="4242" w:hanging="360"/>
      </w:pPr>
      <w:rPr>
        <w:rFonts w:hint="default"/>
        <w:lang w:val="id" w:eastAsia="en-US" w:bidi="ar-SA"/>
      </w:rPr>
    </w:lvl>
    <w:lvl w:ilvl="6">
      <w:start w:val="0"/>
      <w:numFmt w:val="bullet"/>
      <w:lvlText w:val="•"/>
      <w:lvlJc w:val="left"/>
      <w:pPr>
        <w:ind w:left="5103" w:hanging="360"/>
      </w:pPr>
      <w:rPr>
        <w:rFonts w:hint="default"/>
        <w:lang w:val="id" w:eastAsia="en-US" w:bidi="ar-SA"/>
      </w:rPr>
    </w:lvl>
    <w:lvl w:ilvl="7">
      <w:start w:val="0"/>
      <w:numFmt w:val="bullet"/>
      <w:lvlText w:val="•"/>
      <w:lvlJc w:val="left"/>
      <w:pPr>
        <w:ind w:left="5964" w:hanging="360"/>
      </w:pPr>
      <w:rPr>
        <w:rFonts w:hint="default"/>
        <w:lang w:val="id" w:eastAsia="en-US" w:bidi="ar-SA"/>
      </w:rPr>
    </w:lvl>
    <w:lvl w:ilvl="8">
      <w:start w:val="0"/>
      <w:numFmt w:val="bullet"/>
      <w:lvlText w:val="•"/>
      <w:lvlJc w:val="left"/>
      <w:pPr>
        <w:ind w:left="6824" w:hanging="360"/>
      </w:pPr>
      <w:rPr>
        <w:rFonts w:hint="default"/>
        <w:lang w:val="id" w:eastAsia="en-US" w:bidi="ar-SA"/>
      </w:rPr>
    </w:lvl>
  </w:abstractNum>
  <w:abstractNum w:abstractNumId="34">
    <w:multiLevelType w:val="hybridMultilevel"/>
    <w:lvl w:ilvl="0">
      <w:start w:val="3"/>
      <w:numFmt w:val="decimal"/>
      <w:lvlText w:val="%1."/>
      <w:lvlJc w:val="left"/>
      <w:pPr>
        <w:ind w:left="166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348" w:hanging="360"/>
      </w:pPr>
      <w:rPr>
        <w:rFonts w:hint="default"/>
        <w:lang w:val="id" w:eastAsia="en-US" w:bidi="ar-SA"/>
      </w:rPr>
    </w:lvl>
    <w:lvl w:ilvl="2">
      <w:start w:val="0"/>
      <w:numFmt w:val="bullet"/>
      <w:lvlText w:val="•"/>
      <w:lvlJc w:val="left"/>
      <w:pPr>
        <w:ind w:left="3037" w:hanging="360"/>
      </w:pPr>
      <w:rPr>
        <w:rFonts w:hint="default"/>
        <w:lang w:val="id" w:eastAsia="en-US" w:bidi="ar-SA"/>
      </w:rPr>
    </w:lvl>
    <w:lvl w:ilvl="3">
      <w:start w:val="0"/>
      <w:numFmt w:val="bullet"/>
      <w:lvlText w:val="•"/>
      <w:lvlJc w:val="left"/>
      <w:pPr>
        <w:ind w:left="3725" w:hanging="360"/>
      </w:pPr>
      <w:rPr>
        <w:rFonts w:hint="default"/>
        <w:lang w:val="id" w:eastAsia="en-US" w:bidi="ar-SA"/>
      </w:rPr>
    </w:lvl>
    <w:lvl w:ilvl="4">
      <w:start w:val="0"/>
      <w:numFmt w:val="bullet"/>
      <w:lvlText w:val="•"/>
      <w:lvlJc w:val="left"/>
      <w:pPr>
        <w:ind w:left="4414" w:hanging="360"/>
      </w:pPr>
      <w:rPr>
        <w:rFonts w:hint="default"/>
        <w:lang w:val="id" w:eastAsia="en-US" w:bidi="ar-SA"/>
      </w:rPr>
    </w:lvl>
    <w:lvl w:ilvl="5">
      <w:start w:val="0"/>
      <w:numFmt w:val="bullet"/>
      <w:lvlText w:val="•"/>
      <w:lvlJc w:val="left"/>
      <w:pPr>
        <w:ind w:left="5103" w:hanging="360"/>
      </w:pPr>
      <w:rPr>
        <w:rFonts w:hint="default"/>
        <w:lang w:val="id" w:eastAsia="en-US" w:bidi="ar-SA"/>
      </w:rPr>
    </w:lvl>
    <w:lvl w:ilvl="6">
      <w:start w:val="0"/>
      <w:numFmt w:val="bullet"/>
      <w:lvlText w:val="•"/>
      <w:lvlJc w:val="left"/>
      <w:pPr>
        <w:ind w:left="5791" w:hanging="360"/>
      </w:pPr>
      <w:rPr>
        <w:rFonts w:hint="default"/>
        <w:lang w:val="id" w:eastAsia="en-US" w:bidi="ar-SA"/>
      </w:rPr>
    </w:lvl>
    <w:lvl w:ilvl="7">
      <w:start w:val="0"/>
      <w:numFmt w:val="bullet"/>
      <w:lvlText w:val="•"/>
      <w:lvlJc w:val="left"/>
      <w:pPr>
        <w:ind w:left="6480" w:hanging="360"/>
      </w:pPr>
      <w:rPr>
        <w:rFonts w:hint="default"/>
        <w:lang w:val="id" w:eastAsia="en-US" w:bidi="ar-SA"/>
      </w:rPr>
    </w:lvl>
    <w:lvl w:ilvl="8">
      <w:start w:val="0"/>
      <w:numFmt w:val="bullet"/>
      <w:lvlText w:val="•"/>
      <w:lvlJc w:val="left"/>
      <w:pPr>
        <w:ind w:left="7169" w:hanging="360"/>
      </w:pPr>
      <w:rPr>
        <w:rFonts w:hint="default"/>
        <w:lang w:val="id" w:eastAsia="en-US" w:bidi="ar-SA"/>
      </w:rPr>
    </w:lvl>
  </w:abstractNum>
  <w:abstractNum w:abstractNumId="32">
    <w:multiLevelType w:val="hybridMultilevel"/>
    <w:lvl w:ilvl="0">
      <w:start w:val="1"/>
      <w:numFmt w:val="lowerLetter"/>
      <w:lvlText w:val="%1."/>
      <w:lvlJc w:val="left"/>
      <w:pPr>
        <w:ind w:left="388" w:hanging="206"/>
        <w:jc w:val="left"/>
      </w:pPr>
      <w:rPr>
        <w:rFonts w:hint="default" w:ascii="Arial" w:hAnsi="Arial" w:eastAsia="Arial" w:cs="Arial"/>
        <w:color w:val="000104"/>
        <w:spacing w:val="-1"/>
        <w:w w:val="101"/>
        <w:sz w:val="18"/>
        <w:szCs w:val="18"/>
        <w:lang w:val="id" w:eastAsia="en-US" w:bidi="ar-SA"/>
      </w:rPr>
    </w:lvl>
    <w:lvl w:ilvl="1">
      <w:start w:val="0"/>
      <w:numFmt w:val="bullet"/>
      <w:lvlText w:val="•"/>
      <w:lvlJc w:val="left"/>
      <w:pPr>
        <w:ind w:left="1226" w:hanging="206"/>
      </w:pPr>
      <w:rPr>
        <w:rFonts w:hint="default"/>
        <w:lang w:val="id" w:eastAsia="en-US" w:bidi="ar-SA"/>
      </w:rPr>
    </w:lvl>
    <w:lvl w:ilvl="2">
      <w:start w:val="0"/>
      <w:numFmt w:val="bullet"/>
      <w:lvlText w:val="•"/>
      <w:lvlJc w:val="left"/>
      <w:pPr>
        <w:ind w:left="2072" w:hanging="206"/>
      </w:pPr>
      <w:rPr>
        <w:rFonts w:hint="default"/>
        <w:lang w:val="id" w:eastAsia="en-US" w:bidi="ar-SA"/>
      </w:rPr>
    </w:lvl>
    <w:lvl w:ilvl="3">
      <w:start w:val="0"/>
      <w:numFmt w:val="bullet"/>
      <w:lvlText w:val="•"/>
      <w:lvlJc w:val="left"/>
      <w:pPr>
        <w:ind w:left="2919" w:hanging="206"/>
      </w:pPr>
      <w:rPr>
        <w:rFonts w:hint="default"/>
        <w:lang w:val="id" w:eastAsia="en-US" w:bidi="ar-SA"/>
      </w:rPr>
    </w:lvl>
    <w:lvl w:ilvl="4">
      <w:start w:val="0"/>
      <w:numFmt w:val="bullet"/>
      <w:lvlText w:val="•"/>
      <w:lvlJc w:val="left"/>
      <w:pPr>
        <w:ind w:left="3765" w:hanging="206"/>
      </w:pPr>
      <w:rPr>
        <w:rFonts w:hint="default"/>
        <w:lang w:val="id" w:eastAsia="en-US" w:bidi="ar-SA"/>
      </w:rPr>
    </w:lvl>
    <w:lvl w:ilvl="5">
      <w:start w:val="0"/>
      <w:numFmt w:val="bullet"/>
      <w:lvlText w:val="•"/>
      <w:lvlJc w:val="left"/>
      <w:pPr>
        <w:ind w:left="4612" w:hanging="206"/>
      </w:pPr>
      <w:rPr>
        <w:rFonts w:hint="default"/>
        <w:lang w:val="id" w:eastAsia="en-US" w:bidi="ar-SA"/>
      </w:rPr>
    </w:lvl>
    <w:lvl w:ilvl="6">
      <w:start w:val="0"/>
      <w:numFmt w:val="bullet"/>
      <w:lvlText w:val="•"/>
      <w:lvlJc w:val="left"/>
      <w:pPr>
        <w:ind w:left="5458" w:hanging="206"/>
      </w:pPr>
      <w:rPr>
        <w:rFonts w:hint="default"/>
        <w:lang w:val="id" w:eastAsia="en-US" w:bidi="ar-SA"/>
      </w:rPr>
    </w:lvl>
    <w:lvl w:ilvl="7">
      <w:start w:val="0"/>
      <w:numFmt w:val="bullet"/>
      <w:lvlText w:val="•"/>
      <w:lvlJc w:val="left"/>
      <w:pPr>
        <w:ind w:left="6304" w:hanging="206"/>
      </w:pPr>
      <w:rPr>
        <w:rFonts w:hint="default"/>
        <w:lang w:val="id" w:eastAsia="en-US" w:bidi="ar-SA"/>
      </w:rPr>
    </w:lvl>
    <w:lvl w:ilvl="8">
      <w:start w:val="0"/>
      <w:numFmt w:val="bullet"/>
      <w:lvlText w:val="•"/>
      <w:lvlJc w:val="left"/>
      <w:pPr>
        <w:ind w:left="7151" w:hanging="206"/>
      </w:pPr>
      <w:rPr>
        <w:rFonts w:hint="default"/>
        <w:lang w:val="id" w:eastAsia="en-US" w:bidi="ar-SA"/>
      </w:rPr>
    </w:lvl>
  </w:abstractNum>
  <w:abstractNum w:abstractNumId="31">
    <w:multiLevelType w:val="hybridMultilevel"/>
    <w:lvl w:ilvl="0">
      <w:start w:val="1"/>
      <w:numFmt w:val="lowerLetter"/>
      <w:lvlText w:val="%1."/>
      <w:lvlJc w:val="left"/>
      <w:pPr>
        <w:ind w:left="388" w:hanging="206"/>
        <w:jc w:val="left"/>
      </w:pPr>
      <w:rPr>
        <w:rFonts w:hint="default" w:ascii="Arial" w:hAnsi="Arial" w:eastAsia="Arial" w:cs="Arial"/>
        <w:color w:val="000104"/>
        <w:spacing w:val="-1"/>
        <w:w w:val="101"/>
        <w:sz w:val="18"/>
        <w:szCs w:val="18"/>
        <w:lang w:val="id" w:eastAsia="en-US" w:bidi="ar-SA"/>
      </w:rPr>
    </w:lvl>
    <w:lvl w:ilvl="1">
      <w:start w:val="0"/>
      <w:numFmt w:val="bullet"/>
      <w:lvlText w:val="•"/>
      <w:lvlJc w:val="left"/>
      <w:pPr>
        <w:ind w:left="1226" w:hanging="206"/>
      </w:pPr>
      <w:rPr>
        <w:rFonts w:hint="default"/>
        <w:lang w:val="id" w:eastAsia="en-US" w:bidi="ar-SA"/>
      </w:rPr>
    </w:lvl>
    <w:lvl w:ilvl="2">
      <w:start w:val="0"/>
      <w:numFmt w:val="bullet"/>
      <w:lvlText w:val="•"/>
      <w:lvlJc w:val="left"/>
      <w:pPr>
        <w:ind w:left="2072" w:hanging="206"/>
      </w:pPr>
      <w:rPr>
        <w:rFonts w:hint="default"/>
        <w:lang w:val="id" w:eastAsia="en-US" w:bidi="ar-SA"/>
      </w:rPr>
    </w:lvl>
    <w:lvl w:ilvl="3">
      <w:start w:val="0"/>
      <w:numFmt w:val="bullet"/>
      <w:lvlText w:val="•"/>
      <w:lvlJc w:val="left"/>
      <w:pPr>
        <w:ind w:left="2919" w:hanging="206"/>
      </w:pPr>
      <w:rPr>
        <w:rFonts w:hint="default"/>
        <w:lang w:val="id" w:eastAsia="en-US" w:bidi="ar-SA"/>
      </w:rPr>
    </w:lvl>
    <w:lvl w:ilvl="4">
      <w:start w:val="0"/>
      <w:numFmt w:val="bullet"/>
      <w:lvlText w:val="•"/>
      <w:lvlJc w:val="left"/>
      <w:pPr>
        <w:ind w:left="3765" w:hanging="206"/>
      </w:pPr>
      <w:rPr>
        <w:rFonts w:hint="default"/>
        <w:lang w:val="id" w:eastAsia="en-US" w:bidi="ar-SA"/>
      </w:rPr>
    </w:lvl>
    <w:lvl w:ilvl="5">
      <w:start w:val="0"/>
      <w:numFmt w:val="bullet"/>
      <w:lvlText w:val="•"/>
      <w:lvlJc w:val="left"/>
      <w:pPr>
        <w:ind w:left="4612" w:hanging="206"/>
      </w:pPr>
      <w:rPr>
        <w:rFonts w:hint="default"/>
        <w:lang w:val="id" w:eastAsia="en-US" w:bidi="ar-SA"/>
      </w:rPr>
    </w:lvl>
    <w:lvl w:ilvl="6">
      <w:start w:val="0"/>
      <w:numFmt w:val="bullet"/>
      <w:lvlText w:val="•"/>
      <w:lvlJc w:val="left"/>
      <w:pPr>
        <w:ind w:left="5458" w:hanging="206"/>
      </w:pPr>
      <w:rPr>
        <w:rFonts w:hint="default"/>
        <w:lang w:val="id" w:eastAsia="en-US" w:bidi="ar-SA"/>
      </w:rPr>
    </w:lvl>
    <w:lvl w:ilvl="7">
      <w:start w:val="0"/>
      <w:numFmt w:val="bullet"/>
      <w:lvlText w:val="•"/>
      <w:lvlJc w:val="left"/>
      <w:pPr>
        <w:ind w:left="6304" w:hanging="206"/>
      </w:pPr>
      <w:rPr>
        <w:rFonts w:hint="default"/>
        <w:lang w:val="id" w:eastAsia="en-US" w:bidi="ar-SA"/>
      </w:rPr>
    </w:lvl>
    <w:lvl w:ilvl="8">
      <w:start w:val="0"/>
      <w:numFmt w:val="bullet"/>
      <w:lvlText w:val="•"/>
      <w:lvlJc w:val="left"/>
      <w:pPr>
        <w:ind w:left="7151" w:hanging="206"/>
      </w:pPr>
      <w:rPr>
        <w:rFonts w:hint="default"/>
        <w:lang w:val="id" w:eastAsia="en-US" w:bidi="ar-SA"/>
      </w:rPr>
    </w:lvl>
  </w:abstractNum>
  <w:abstractNum w:abstractNumId="30">
    <w:multiLevelType w:val="hybridMultilevel"/>
    <w:lvl w:ilvl="0">
      <w:start w:val="1"/>
      <w:numFmt w:val="lowerLetter"/>
      <w:lvlText w:val="%1."/>
      <w:lvlJc w:val="left"/>
      <w:pPr>
        <w:ind w:left="388" w:hanging="206"/>
        <w:jc w:val="left"/>
      </w:pPr>
      <w:rPr>
        <w:rFonts w:hint="default" w:ascii="Arial" w:hAnsi="Arial" w:eastAsia="Arial" w:cs="Arial"/>
        <w:color w:val="000104"/>
        <w:spacing w:val="-1"/>
        <w:w w:val="101"/>
        <w:sz w:val="18"/>
        <w:szCs w:val="18"/>
        <w:lang w:val="id" w:eastAsia="en-US" w:bidi="ar-SA"/>
      </w:rPr>
    </w:lvl>
    <w:lvl w:ilvl="1">
      <w:start w:val="0"/>
      <w:numFmt w:val="bullet"/>
      <w:lvlText w:val="•"/>
      <w:lvlJc w:val="left"/>
      <w:pPr>
        <w:ind w:left="1226" w:hanging="206"/>
      </w:pPr>
      <w:rPr>
        <w:rFonts w:hint="default"/>
        <w:lang w:val="id" w:eastAsia="en-US" w:bidi="ar-SA"/>
      </w:rPr>
    </w:lvl>
    <w:lvl w:ilvl="2">
      <w:start w:val="0"/>
      <w:numFmt w:val="bullet"/>
      <w:lvlText w:val="•"/>
      <w:lvlJc w:val="left"/>
      <w:pPr>
        <w:ind w:left="2072" w:hanging="206"/>
      </w:pPr>
      <w:rPr>
        <w:rFonts w:hint="default"/>
        <w:lang w:val="id" w:eastAsia="en-US" w:bidi="ar-SA"/>
      </w:rPr>
    </w:lvl>
    <w:lvl w:ilvl="3">
      <w:start w:val="0"/>
      <w:numFmt w:val="bullet"/>
      <w:lvlText w:val="•"/>
      <w:lvlJc w:val="left"/>
      <w:pPr>
        <w:ind w:left="2919" w:hanging="206"/>
      </w:pPr>
      <w:rPr>
        <w:rFonts w:hint="default"/>
        <w:lang w:val="id" w:eastAsia="en-US" w:bidi="ar-SA"/>
      </w:rPr>
    </w:lvl>
    <w:lvl w:ilvl="4">
      <w:start w:val="0"/>
      <w:numFmt w:val="bullet"/>
      <w:lvlText w:val="•"/>
      <w:lvlJc w:val="left"/>
      <w:pPr>
        <w:ind w:left="3765" w:hanging="206"/>
      </w:pPr>
      <w:rPr>
        <w:rFonts w:hint="default"/>
        <w:lang w:val="id" w:eastAsia="en-US" w:bidi="ar-SA"/>
      </w:rPr>
    </w:lvl>
    <w:lvl w:ilvl="5">
      <w:start w:val="0"/>
      <w:numFmt w:val="bullet"/>
      <w:lvlText w:val="•"/>
      <w:lvlJc w:val="left"/>
      <w:pPr>
        <w:ind w:left="4612" w:hanging="206"/>
      </w:pPr>
      <w:rPr>
        <w:rFonts w:hint="default"/>
        <w:lang w:val="id" w:eastAsia="en-US" w:bidi="ar-SA"/>
      </w:rPr>
    </w:lvl>
    <w:lvl w:ilvl="6">
      <w:start w:val="0"/>
      <w:numFmt w:val="bullet"/>
      <w:lvlText w:val="•"/>
      <w:lvlJc w:val="left"/>
      <w:pPr>
        <w:ind w:left="5458" w:hanging="206"/>
      </w:pPr>
      <w:rPr>
        <w:rFonts w:hint="default"/>
        <w:lang w:val="id" w:eastAsia="en-US" w:bidi="ar-SA"/>
      </w:rPr>
    </w:lvl>
    <w:lvl w:ilvl="7">
      <w:start w:val="0"/>
      <w:numFmt w:val="bullet"/>
      <w:lvlText w:val="•"/>
      <w:lvlJc w:val="left"/>
      <w:pPr>
        <w:ind w:left="6304" w:hanging="206"/>
      </w:pPr>
      <w:rPr>
        <w:rFonts w:hint="default"/>
        <w:lang w:val="id" w:eastAsia="en-US" w:bidi="ar-SA"/>
      </w:rPr>
    </w:lvl>
    <w:lvl w:ilvl="8">
      <w:start w:val="0"/>
      <w:numFmt w:val="bullet"/>
      <w:lvlText w:val="•"/>
      <w:lvlJc w:val="left"/>
      <w:pPr>
        <w:ind w:left="7151" w:hanging="206"/>
      </w:pPr>
      <w:rPr>
        <w:rFonts w:hint="default"/>
        <w:lang w:val="id" w:eastAsia="en-US" w:bidi="ar-SA"/>
      </w:rPr>
    </w:lvl>
  </w:abstractNum>
  <w:abstractNum w:abstractNumId="29">
    <w:multiLevelType w:val="hybridMultilevel"/>
    <w:lvl w:ilvl="0">
      <w:start w:val="1"/>
      <w:numFmt w:val="lowerLetter"/>
      <w:lvlText w:val="%1."/>
      <w:lvlJc w:val="left"/>
      <w:pPr>
        <w:ind w:left="388" w:hanging="206"/>
        <w:jc w:val="left"/>
      </w:pPr>
      <w:rPr>
        <w:rFonts w:hint="default" w:ascii="Arial" w:hAnsi="Arial" w:eastAsia="Arial" w:cs="Arial"/>
        <w:color w:val="000104"/>
        <w:spacing w:val="-1"/>
        <w:w w:val="101"/>
        <w:sz w:val="18"/>
        <w:szCs w:val="18"/>
        <w:lang w:val="id" w:eastAsia="en-US" w:bidi="ar-SA"/>
      </w:rPr>
    </w:lvl>
    <w:lvl w:ilvl="1">
      <w:start w:val="0"/>
      <w:numFmt w:val="bullet"/>
      <w:lvlText w:val="•"/>
      <w:lvlJc w:val="left"/>
      <w:pPr>
        <w:ind w:left="1226" w:hanging="206"/>
      </w:pPr>
      <w:rPr>
        <w:rFonts w:hint="default"/>
        <w:lang w:val="id" w:eastAsia="en-US" w:bidi="ar-SA"/>
      </w:rPr>
    </w:lvl>
    <w:lvl w:ilvl="2">
      <w:start w:val="0"/>
      <w:numFmt w:val="bullet"/>
      <w:lvlText w:val="•"/>
      <w:lvlJc w:val="left"/>
      <w:pPr>
        <w:ind w:left="2072" w:hanging="206"/>
      </w:pPr>
      <w:rPr>
        <w:rFonts w:hint="default"/>
        <w:lang w:val="id" w:eastAsia="en-US" w:bidi="ar-SA"/>
      </w:rPr>
    </w:lvl>
    <w:lvl w:ilvl="3">
      <w:start w:val="0"/>
      <w:numFmt w:val="bullet"/>
      <w:lvlText w:val="•"/>
      <w:lvlJc w:val="left"/>
      <w:pPr>
        <w:ind w:left="2919" w:hanging="206"/>
      </w:pPr>
      <w:rPr>
        <w:rFonts w:hint="default"/>
        <w:lang w:val="id" w:eastAsia="en-US" w:bidi="ar-SA"/>
      </w:rPr>
    </w:lvl>
    <w:lvl w:ilvl="4">
      <w:start w:val="0"/>
      <w:numFmt w:val="bullet"/>
      <w:lvlText w:val="•"/>
      <w:lvlJc w:val="left"/>
      <w:pPr>
        <w:ind w:left="3765" w:hanging="206"/>
      </w:pPr>
      <w:rPr>
        <w:rFonts w:hint="default"/>
        <w:lang w:val="id" w:eastAsia="en-US" w:bidi="ar-SA"/>
      </w:rPr>
    </w:lvl>
    <w:lvl w:ilvl="5">
      <w:start w:val="0"/>
      <w:numFmt w:val="bullet"/>
      <w:lvlText w:val="•"/>
      <w:lvlJc w:val="left"/>
      <w:pPr>
        <w:ind w:left="4612" w:hanging="206"/>
      </w:pPr>
      <w:rPr>
        <w:rFonts w:hint="default"/>
        <w:lang w:val="id" w:eastAsia="en-US" w:bidi="ar-SA"/>
      </w:rPr>
    </w:lvl>
    <w:lvl w:ilvl="6">
      <w:start w:val="0"/>
      <w:numFmt w:val="bullet"/>
      <w:lvlText w:val="•"/>
      <w:lvlJc w:val="left"/>
      <w:pPr>
        <w:ind w:left="5458" w:hanging="206"/>
      </w:pPr>
      <w:rPr>
        <w:rFonts w:hint="default"/>
        <w:lang w:val="id" w:eastAsia="en-US" w:bidi="ar-SA"/>
      </w:rPr>
    </w:lvl>
    <w:lvl w:ilvl="7">
      <w:start w:val="0"/>
      <w:numFmt w:val="bullet"/>
      <w:lvlText w:val="•"/>
      <w:lvlJc w:val="left"/>
      <w:pPr>
        <w:ind w:left="6304" w:hanging="206"/>
      </w:pPr>
      <w:rPr>
        <w:rFonts w:hint="default"/>
        <w:lang w:val="id" w:eastAsia="en-US" w:bidi="ar-SA"/>
      </w:rPr>
    </w:lvl>
    <w:lvl w:ilvl="8">
      <w:start w:val="0"/>
      <w:numFmt w:val="bullet"/>
      <w:lvlText w:val="•"/>
      <w:lvlJc w:val="left"/>
      <w:pPr>
        <w:ind w:left="7151" w:hanging="206"/>
      </w:pPr>
      <w:rPr>
        <w:rFonts w:hint="default"/>
        <w:lang w:val="id" w:eastAsia="en-US" w:bidi="ar-SA"/>
      </w:rPr>
    </w:lvl>
  </w:abstractNum>
  <w:abstractNum w:abstractNumId="28">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27"/>
        <w:w w:val="99"/>
        <w:sz w:val="24"/>
        <w:szCs w:val="24"/>
        <w:lang w:val="id" w:eastAsia="en-US" w:bidi="ar-SA"/>
      </w:rPr>
    </w:lvl>
    <w:lvl w:ilvl="1">
      <w:start w:val="0"/>
      <w:numFmt w:val="bullet"/>
      <w:lvlText w:val="•"/>
      <w:lvlJc w:val="left"/>
      <w:pPr>
        <w:ind w:left="1976" w:hanging="567"/>
      </w:pPr>
      <w:rPr>
        <w:rFonts w:hint="default"/>
        <w:lang w:val="id" w:eastAsia="en-US" w:bidi="ar-SA"/>
      </w:rPr>
    </w:lvl>
    <w:lvl w:ilvl="2">
      <w:start w:val="0"/>
      <w:numFmt w:val="bullet"/>
      <w:lvlText w:val="•"/>
      <w:lvlJc w:val="left"/>
      <w:pPr>
        <w:ind w:left="2792" w:hanging="567"/>
      </w:pPr>
      <w:rPr>
        <w:rFonts w:hint="default"/>
        <w:lang w:val="id" w:eastAsia="en-US" w:bidi="ar-SA"/>
      </w:rPr>
    </w:lvl>
    <w:lvl w:ilvl="3">
      <w:start w:val="0"/>
      <w:numFmt w:val="bullet"/>
      <w:lvlText w:val="•"/>
      <w:lvlJc w:val="left"/>
      <w:pPr>
        <w:ind w:left="3609" w:hanging="567"/>
      </w:pPr>
      <w:rPr>
        <w:rFonts w:hint="default"/>
        <w:lang w:val="id" w:eastAsia="en-US" w:bidi="ar-SA"/>
      </w:rPr>
    </w:lvl>
    <w:lvl w:ilvl="4">
      <w:start w:val="0"/>
      <w:numFmt w:val="bullet"/>
      <w:lvlText w:val="•"/>
      <w:lvlJc w:val="left"/>
      <w:pPr>
        <w:ind w:left="4425" w:hanging="567"/>
      </w:pPr>
      <w:rPr>
        <w:rFonts w:hint="default"/>
        <w:lang w:val="id" w:eastAsia="en-US" w:bidi="ar-SA"/>
      </w:rPr>
    </w:lvl>
    <w:lvl w:ilvl="5">
      <w:start w:val="0"/>
      <w:numFmt w:val="bullet"/>
      <w:lvlText w:val="•"/>
      <w:lvlJc w:val="left"/>
      <w:pPr>
        <w:ind w:left="5242" w:hanging="567"/>
      </w:pPr>
      <w:rPr>
        <w:rFonts w:hint="default"/>
        <w:lang w:val="id" w:eastAsia="en-US" w:bidi="ar-SA"/>
      </w:rPr>
    </w:lvl>
    <w:lvl w:ilvl="6">
      <w:start w:val="0"/>
      <w:numFmt w:val="bullet"/>
      <w:lvlText w:val="•"/>
      <w:lvlJc w:val="left"/>
      <w:pPr>
        <w:ind w:left="6058" w:hanging="567"/>
      </w:pPr>
      <w:rPr>
        <w:rFonts w:hint="default"/>
        <w:lang w:val="id" w:eastAsia="en-US" w:bidi="ar-SA"/>
      </w:rPr>
    </w:lvl>
    <w:lvl w:ilvl="7">
      <w:start w:val="0"/>
      <w:numFmt w:val="bullet"/>
      <w:lvlText w:val="•"/>
      <w:lvlJc w:val="left"/>
      <w:pPr>
        <w:ind w:left="6874" w:hanging="567"/>
      </w:pPr>
      <w:rPr>
        <w:rFonts w:hint="default"/>
        <w:lang w:val="id" w:eastAsia="en-US" w:bidi="ar-SA"/>
      </w:rPr>
    </w:lvl>
    <w:lvl w:ilvl="8">
      <w:start w:val="0"/>
      <w:numFmt w:val="bullet"/>
      <w:lvlText w:val="•"/>
      <w:lvlJc w:val="left"/>
      <w:pPr>
        <w:ind w:left="7691" w:hanging="567"/>
      </w:pPr>
      <w:rPr>
        <w:rFonts w:hint="default"/>
        <w:lang w:val="id" w:eastAsia="en-US" w:bidi="ar-SA"/>
      </w:rPr>
    </w:lvl>
  </w:abstractNum>
  <w:abstractNum w:abstractNumId="27">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25"/>
        <w:w w:val="99"/>
        <w:sz w:val="24"/>
        <w:szCs w:val="24"/>
        <w:lang w:val="id" w:eastAsia="en-US" w:bidi="ar-SA"/>
      </w:rPr>
    </w:lvl>
    <w:lvl w:ilvl="1">
      <w:start w:val="0"/>
      <w:numFmt w:val="bullet"/>
      <w:lvlText w:val="•"/>
      <w:lvlJc w:val="left"/>
      <w:pPr>
        <w:ind w:left="1976" w:hanging="567"/>
      </w:pPr>
      <w:rPr>
        <w:rFonts w:hint="default"/>
        <w:lang w:val="id" w:eastAsia="en-US" w:bidi="ar-SA"/>
      </w:rPr>
    </w:lvl>
    <w:lvl w:ilvl="2">
      <w:start w:val="0"/>
      <w:numFmt w:val="bullet"/>
      <w:lvlText w:val="•"/>
      <w:lvlJc w:val="left"/>
      <w:pPr>
        <w:ind w:left="2792" w:hanging="567"/>
      </w:pPr>
      <w:rPr>
        <w:rFonts w:hint="default"/>
        <w:lang w:val="id" w:eastAsia="en-US" w:bidi="ar-SA"/>
      </w:rPr>
    </w:lvl>
    <w:lvl w:ilvl="3">
      <w:start w:val="0"/>
      <w:numFmt w:val="bullet"/>
      <w:lvlText w:val="•"/>
      <w:lvlJc w:val="left"/>
      <w:pPr>
        <w:ind w:left="3609" w:hanging="567"/>
      </w:pPr>
      <w:rPr>
        <w:rFonts w:hint="default"/>
        <w:lang w:val="id" w:eastAsia="en-US" w:bidi="ar-SA"/>
      </w:rPr>
    </w:lvl>
    <w:lvl w:ilvl="4">
      <w:start w:val="0"/>
      <w:numFmt w:val="bullet"/>
      <w:lvlText w:val="•"/>
      <w:lvlJc w:val="left"/>
      <w:pPr>
        <w:ind w:left="4425" w:hanging="567"/>
      </w:pPr>
      <w:rPr>
        <w:rFonts w:hint="default"/>
        <w:lang w:val="id" w:eastAsia="en-US" w:bidi="ar-SA"/>
      </w:rPr>
    </w:lvl>
    <w:lvl w:ilvl="5">
      <w:start w:val="0"/>
      <w:numFmt w:val="bullet"/>
      <w:lvlText w:val="•"/>
      <w:lvlJc w:val="left"/>
      <w:pPr>
        <w:ind w:left="5242" w:hanging="567"/>
      </w:pPr>
      <w:rPr>
        <w:rFonts w:hint="default"/>
        <w:lang w:val="id" w:eastAsia="en-US" w:bidi="ar-SA"/>
      </w:rPr>
    </w:lvl>
    <w:lvl w:ilvl="6">
      <w:start w:val="0"/>
      <w:numFmt w:val="bullet"/>
      <w:lvlText w:val="•"/>
      <w:lvlJc w:val="left"/>
      <w:pPr>
        <w:ind w:left="6058" w:hanging="567"/>
      </w:pPr>
      <w:rPr>
        <w:rFonts w:hint="default"/>
        <w:lang w:val="id" w:eastAsia="en-US" w:bidi="ar-SA"/>
      </w:rPr>
    </w:lvl>
    <w:lvl w:ilvl="7">
      <w:start w:val="0"/>
      <w:numFmt w:val="bullet"/>
      <w:lvlText w:val="•"/>
      <w:lvlJc w:val="left"/>
      <w:pPr>
        <w:ind w:left="6874" w:hanging="567"/>
      </w:pPr>
      <w:rPr>
        <w:rFonts w:hint="default"/>
        <w:lang w:val="id" w:eastAsia="en-US" w:bidi="ar-SA"/>
      </w:rPr>
    </w:lvl>
    <w:lvl w:ilvl="8">
      <w:start w:val="0"/>
      <w:numFmt w:val="bullet"/>
      <w:lvlText w:val="•"/>
      <w:lvlJc w:val="left"/>
      <w:pPr>
        <w:ind w:left="7691" w:hanging="567"/>
      </w:pPr>
      <w:rPr>
        <w:rFonts w:hint="default"/>
        <w:lang w:val="id" w:eastAsia="en-US" w:bidi="ar-SA"/>
      </w:rPr>
    </w:lvl>
  </w:abstractNum>
  <w:abstractNum w:abstractNumId="26">
    <w:multiLevelType w:val="hybridMultilevel"/>
    <w:lvl w:ilvl="0">
      <w:start w:val="1"/>
      <w:numFmt w:val="decimal"/>
      <w:lvlText w:val="%1"/>
      <w:lvlJc w:val="left"/>
      <w:pPr>
        <w:ind w:left="1153" w:hanging="567"/>
        <w:jc w:val="left"/>
      </w:pPr>
      <w:rPr>
        <w:rFonts w:hint="default"/>
        <w:lang w:val="id" w:eastAsia="en-US" w:bidi="ar-SA"/>
      </w:rPr>
    </w:lvl>
    <w:lvl w:ilvl="1">
      <w:start w:val="1"/>
      <w:numFmt w:val="decimal"/>
      <w:lvlText w:val="%1.%2"/>
      <w:lvlJc w:val="left"/>
      <w:pPr>
        <w:ind w:left="1153" w:hanging="567"/>
        <w:jc w:val="left"/>
      </w:pPr>
      <w:rPr>
        <w:rFonts w:hint="default" w:ascii="Times New Roman" w:hAnsi="Times New Roman" w:eastAsia="Times New Roman" w:cs="Times New Roman"/>
        <w:b/>
        <w:bCs/>
        <w:spacing w:val="-5"/>
        <w:w w:val="99"/>
        <w:sz w:val="24"/>
        <w:szCs w:val="24"/>
        <w:lang w:val="id" w:eastAsia="en-US" w:bidi="ar-SA"/>
      </w:rPr>
    </w:lvl>
    <w:lvl w:ilvl="2">
      <w:start w:val="0"/>
      <w:numFmt w:val="bullet"/>
      <w:lvlText w:val="•"/>
      <w:lvlJc w:val="left"/>
      <w:pPr>
        <w:ind w:left="2792" w:hanging="567"/>
      </w:pPr>
      <w:rPr>
        <w:rFonts w:hint="default"/>
        <w:lang w:val="id" w:eastAsia="en-US" w:bidi="ar-SA"/>
      </w:rPr>
    </w:lvl>
    <w:lvl w:ilvl="3">
      <w:start w:val="0"/>
      <w:numFmt w:val="bullet"/>
      <w:lvlText w:val="•"/>
      <w:lvlJc w:val="left"/>
      <w:pPr>
        <w:ind w:left="3609" w:hanging="567"/>
      </w:pPr>
      <w:rPr>
        <w:rFonts w:hint="default"/>
        <w:lang w:val="id" w:eastAsia="en-US" w:bidi="ar-SA"/>
      </w:rPr>
    </w:lvl>
    <w:lvl w:ilvl="4">
      <w:start w:val="0"/>
      <w:numFmt w:val="bullet"/>
      <w:lvlText w:val="•"/>
      <w:lvlJc w:val="left"/>
      <w:pPr>
        <w:ind w:left="4425" w:hanging="567"/>
      </w:pPr>
      <w:rPr>
        <w:rFonts w:hint="default"/>
        <w:lang w:val="id" w:eastAsia="en-US" w:bidi="ar-SA"/>
      </w:rPr>
    </w:lvl>
    <w:lvl w:ilvl="5">
      <w:start w:val="0"/>
      <w:numFmt w:val="bullet"/>
      <w:lvlText w:val="•"/>
      <w:lvlJc w:val="left"/>
      <w:pPr>
        <w:ind w:left="5242" w:hanging="567"/>
      </w:pPr>
      <w:rPr>
        <w:rFonts w:hint="default"/>
        <w:lang w:val="id" w:eastAsia="en-US" w:bidi="ar-SA"/>
      </w:rPr>
    </w:lvl>
    <w:lvl w:ilvl="6">
      <w:start w:val="0"/>
      <w:numFmt w:val="bullet"/>
      <w:lvlText w:val="•"/>
      <w:lvlJc w:val="left"/>
      <w:pPr>
        <w:ind w:left="6058" w:hanging="567"/>
      </w:pPr>
      <w:rPr>
        <w:rFonts w:hint="default"/>
        <w:lang w:val="id" w:eastAsia="en-US" w:bidi="ar-SA"/>
      </w:rPr>
    </w:lvl>
    <w:lvl w:ilvl="7">
      <w:start w:val="0"/>
      <w:numFmt w:val="bullet"/>
      <w:lvlText w:val="•"/>
      <w:lvlJc w:val="left"/>
      <w:pPr>
        <w:ind w:left="6874" w:hanging="567"/>
      </w:pPr>
      <w:rPr>
        <w:rFonts w:hint="default"/>
        <w:lang w:val="id" w:eastAsia="en-US" w:bidi="ar-SA"/>
      </w:rPr>
    </w:lvl>
    <w:lvl w:ilvl="8">
      <w:start w:val="0"/>
      <w:numFmt w:val="bullet"/>
      <w:lvlText w:val="•"/>
      <w:lvlJc w:val="left"/>
      <w:pPr>
        <w:ind w:left="7691" w:hanging="567"/>
      </w:pPr>
      <w:rPr>
        <w:rFonts w:hint="default"/>
        <w:lang w:val="id" w:eastAsia="en-US" w:bidi="ar-SA"/>
      </w:rPr>
    </w:lvl>
  </w:abstractNum>
  <w:abstractNum w:abstractNumId="25">
    <w:multiLevelType w:val="hybridMultilevel"/>
    <w:lvl w:ilvl="0">
      <w:start w:val="1"/>
      <w:numFmt w:val="decimal"/>
      <w:lvlText w:val="%1."/>
      <w:lvlJc w:val="left"/>
      <w:pPr>
        <w:ind w:left="1153" w:hanging="567"/>
        <w:jc w:val="left"/>
      </w:pPr>
      <w:rPr>
        <w:rFonts w:hint="default" w:ascii="Times New Roman" w:hAnsi="Times New Roman" w:eastAsia="Times New Roman" w:cs="Times New Roman"/>
        <w:b/>
        <w:bCs/>
        <w:spacing w:val="-10"/>
        <w:w w:val="99"/>
        <w:sz w:val="24"/>
        <w:szCs w:val="24"/>
        <w:lang w:val="id" w:eastAsia="en-US" w:bidi="ar-SA"/>
      </w:rPr>
    </w:lvl>
    <w:lvl w:ilvl="1">
      <w:start w:val="0"/>
      <w:numFmt w:val="bullet"/>
      <w:lvlText w:val="•"/>
      <w:lvlJc w:val="left"/>
      <w:pPr>
        <w:ind w:left="1976" w:hanging="567"/>
      </w:pPr>
      <w:rPr>
        <w:rFonts w:hint="default"/>
        <w:lang w:val="id" w:eastAsia="en-US" w:bidi="ar-SA"/>
      </w:rPr>
    </w:lvl>
    <w:lvl w:ilvl="2">
      <w:start w:val="0"/>
      <w:numFmt w:val="bullet"/>
      <w:lvlText w:val="•"/>
      <w:lvlJc w:val="left"/>
      <w:pPr>
        <w:ind w:left="2792" w:hanging="567"/>
      </w:pPr>
      <w:rPr>
        <w:rFonts w:hint="default"/>
        <w:lang w:val="id" w:eastAsia="en-US" w:bidi="ar-SA"/>
      </w:rPr>
    </w:lvl>
    <w:lvl w:ilvl="3">
      <w:start w:val="0"/>
      <w:numFmt w:val="bullet"/>
      <w:lvlText w:val="•"/>
      <w:lvlJc w:val="left"/>
      <w:pPr>
        <w:ind w:left="3609" w:hanging="567"/>
      </w:pPr>
      <w:rPr>
        <w:rFonts w:hint="default"/>
        <w:lang w:val="id" w:eastAsia="en-US" w:bidi="ar-SA"/>
      </w:rPr>
    </w:lvl>
    <w:lvl w:ilvl="4">
      <w:start w:val="0"/>
      <w:numFmt w:val="bullet"/>
      <w:lvlText w:val="•"/>
      <w:lvlJc w:val="left"/>
      <w:pPr>
        <w:ind w:left="4425" w:hanging="567"/>
      </w:pPr>
      <w:rPr>
        <w:rFonts w:hint="default"/>
        <w:lang w:val="id" w:eastAsia="en-US" w:bidi="ar-SA"/>
      </w:rPr>
    </w:lvl>
    <w:lvl w:ilvl="5">
      <w:start w:val="0"/>
      <w:numFmt w:val="bullet"/>
      <w:lvlText w:val="•"/>
      <w:lvlJc w:val="left"/>
      <w:pPr>
        <w:ind w:left="5242" w:hanging="567"/>
      </w:pPr>
      <w:rPr>
        <w:rFonts w:hint="default"/>
        <w:lang w:val="id" w:eastAsia="en-US" w:bidi="ar-SA"/>
      </w:rPr>
    </w:lvl>
    <w:lvl w:ilvl="6">
      <w:start w:val="0"/>
      <w:numFmt w:val="bullet"/>
      <w:lvlText w:val="•"/>
      <w:lvlJc w:val="left"/>
      <w:pPr>
        <w:ind w:left="6058" w:hanging="567"/>
      </w:pPr>
      <w:rPr>
        <w:rFonts w:hint="default"/>
        <w:lang w:val="id" w:eastAsia="en-US" w:bidi="ar-SA"/>
      </w:rPr>
    </w:lvl>
    <w:lvl w:ilvl="7">
      <w:start w:val="0"/>
      <w:numFmt w:val="bullet"/>
      <w:lvlText w:val="•"/>
      <w:lvlJc w:val="left"/>
      <w:pPr>
        <w:ind w:left="6874" w:hanging="567"/>
      </w:pPr>
      <w:rPr>
        <w:rFonts w:hint="default"/>
        <w:lang w:val="id" w:eastAsia="en-US" w:bidi="ar-SA"/>
      </w:rPr>
    </w:lvl>
    <w:lvl w:ilvl="8">
      <w:start w:val="0"/>
      <w:numFmt w:val="bullet"/>
      <w:lvlText w:val="•"/>
      <w:lvlJc w:val="left"/>
      <w:pPr>
        <w:ind w:left="7691" w:hanging="567"/>
      </w:pPr>
      <w:rPr>
        <w:rFonts w:hint="default"/>
        <w:lang w:val="id" w:eastAsia="en-US" w:bidi="ar-SA"/>
      </w:rPr>
    </w:lvl>
  </w:abstractNum>
  <w:abstractNum w:abstractNumId="24">
    <w:multiLevelType w:val="hybridMultilevel"/>
    <w:lvl w:ilvl="0">
      <w:start w:val="1"/>
      <w:numFmt w:val="decimal"/>
      <w:lvlText w:val="%1."/>
      <w:lvlJc w:val="left"/>
      <w:pPr>
        <w:ind w:left="1153" w:hanging="567"/>
        <w:jc w:val="right"/>
      </w:pPr>
      <w:rPr>
        <w:rFonts w:hint="default" w:ascii="Times New Roman" w:hAnsi="Times New Roman" w:eastAsia="Times New Roman" w:cs="Times New Roman"/>
        <w:b/>
        <w:bCs/>
        <w:spacing w:val="-5"/>
        <w:w w:val="99"/>
        <w:sz w:val="24"/>
        <w:szCs w:val="24"/>
        <w:lang w:val="id" w:eastAsia="en-US" w:bidi="ar-SA"/>
      </w:rPr>
    </w:lvl>
    <w:lvl w:ilvl="1">
      <w:start w:val="0"/>
      <w:numFmt w:val="bullet"/>
      <w:lvlText w:val="•"/>
      <w:lvlJc w:val="left"/>
      <w:pPr>
        <w:ind w:left="1976" w:hanging="567"/>
      </w:pPr>
      <w:rPr>
        <w:rFonts w:hint="default"/>
        <w:lang w:val="id" w:eastAsia="en-US" w:bidi="ar-SA"/>
      </w:rPr>
    </w:lvl>
    <w:lvl w:ilvl="2">
      <w:start w:val="0"/>
      <w:numFmt w:val="bullet"/>
      <w:lvlText w:val="•"/>
      <w:lvlJc w:val="left"/>
      <w:pPr>
        <w:ind w:left="2792" w:hanging="567"/>
      </w:pPr>
      <w:rPr>
        <w:rFonts w:hint="default"/>
        <w:lang w:val="id" w:eastAsia="en-US" w:bidi="ar-SA"/>
      </w:rPr>
    </w:lvl>
    <w:lvl w:ilvl="3">
      <w:start w:val="0"/>
      <w:numFmt w:val="bullet"/>
      <w:lvlText w:val="•"/>
      <w:lvlJc w:val="left"/>
      <w:pPr>
        <w:ind w:left="3609" w:hanging="567"/>
      </w:pPr>
      <w:rPr>
        <w:rFonts w:hint="default"/>
        <w:lang w:val="id" w:eastAsia="en-US" w:bidi="ar-SA"/>
      </w:rPr>
    </w:lvl>
    <w:lvl w:ilvl="4">
      <w:start w:val="0"/>
      <w:numFmt w:val="bullet"/>
      <w:lvlText w:val="•"/>
      <w:lvlJc w:val="left"/>
      <w:pPr>
        <w:ind w:left="4425" w:hanging="567"/>
      </w:pPr>
      <w:rPr>
        <w:rFonts w:hint="default"/>
        <w:lang w:val="id" w:eastAsia="en-US" w:bidi="ar-SA"/>
      </w:rPr>
    </w:lvl>
    <w:lvl w:ilvl="5">
      <w:start w:val="0"/>
      <w:numFmt w:val="bullet"/>
      <w:lvlText w:val="•"/>
      <w:lvlJc w:val="left"/>
      <w:pPr>
        <w:ind w:left="5242" w:hanging="567"/>
      </w:pPr>
      <w:rPr>
        <w:rFonts w:hint="default"/>
        <w:lang w:val="id" w:eastAsia="en-US" w:bidi="ar-SA"/>
      </w:rPr>
    </w:lvl>
    <w:lvl w:ilvl="6">
      <w:start w:val="0"/>
      <w:numFmt w:val="bullet"/>
      <w:lvlText w:val="•"/>
      <w:lvlJc w:val="left"/>
      <w:pPr>
        <w:ind w:left="6058" w:hanging="567"/>
      </w:pPr>
      <w:rPr>
        <w:rFonts w:hint="default"/>
        <w:lang w:val="id" w:eastAsia="en-US" w:bidi="ar-SA"/>
      </w:rPr>
    </w:lvl>
    <w:lvl w:ilvl="7">
      <w:start w:val="0"/>
      <w:numFmt w:val="bullet"/>
      <w:lvlText w:val="•"/>
      <w:lvlJc w:val="left"/>
      <w:pPr>
        <w:ind w:left="6874" w:hanging="567"/>
      </w:pPr>
      <w:rPr>
        <w:rFonts w:hint="default"/>
        <w:lang w:val="id" w:eastAsia="en-US" w:bidi="ar-SA"/>
      </w:rPr>
    </w:lvl>
    <w:lvl w:ilvl="8">
      <w:start w:val="0"/>
      <w:numFmt w:val="bullet"/>
      <w:lvlText w:val="•"/>
      <w:lvlJc w:val="left"/>
      <w:pPr>
        <w:ind w:left="7691" w:hanging="567"/>
      </w:pPr>
      <w:rPr>
        <w:rFonts w:hint="default"/>
        <w:lang w:val="id" w:eastAsia="en-US" w:bidi="ar-SA"/>
      </w:rPr>
    </w:lvl>
  </w:abstractNum>
  <w:abstractNum w:abstractNumId="23">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102" w:hanging="360"/>
      </w:pPr>
      <w:rPr>
        <w:rFonts w:hint="default"/>
        <w:lang w:val="id" w:eastAsia="en-US" w:bidi="ar-SA"/>
      </w:rPr>
    </w:lvl>
    <w:lvl w:ilvl="2">
      <w:start w:val="0"/>
      <w:numFmt w:val="bullet"/>
      <w:lvlText w:val="•"/>
      <w:lvlJc w:val="left"/>
      <w:pPr>
        <w:ind w:left="2904" w:hanging="360"/>
      </w:pPr>
      <w:rPr>
        <w:rFonts w:hint="default"/>
        <w:lang w:val="id" w:eastAsia="en-US" w:bidi="ar-SA"/>
      </w:rPr>
    </w:lvl>
    <w:lvl w:ilvl="3">
      <w:start w:val="0"/>
      <w:numFmt w:val="bullet"/>
      <w:lvlText w:val="•"/>
      <w:lvlJc w:val="left"/>
      <w:pPr>
        <w:ind w:left="3707" w:hanging="360"/>
      </w:pPr>
      <w:rPr>
        <w:rFonts w:hint="default"/>
        <w:lang w:val="id" w:eastAsia="en-US" w:bidi="ar-SA"/>
      </w:rPr>
    </w:lvl>
    <w:lvl w:ilvl="4">
      <w:start w:val="0"/>
      <w:numFmt w:val="bullet"/>
      <w:lvlText w:val="•"/>
      <w:lvlJc w:val="left"/>
      <w:pPr>
        <w:ind w:left="4509" w:hanging="360"/>
      </w:pPr>
      <w:rPr>
        <w:rFonts w:hint="default"/>
        <w:lang w:val="id" w:eastAsia="en-US" w:bidi="ar-SA"/>
      </w:rPr>
    </w:lvl>
    <w:lvl w:ilvl="5">
      <w:start w:val="0"/>
      <w:numFmt w:val="bullet"/>
      <w:lvlText w:val="•"/>
      <w:lvlJc w:val="left"/>
      <w:pPr>
        <w:ind w:left="5312" w:hanging="360"/>
      </w:pPr>
      <w:rPr>
        <w:rFonts w:hint="default"/>
        <w:lang w:val="id" w:eastAsia="en-US" w:bidi="ar-SA"/>
      </w:rPr>
    </w:lvl>
    <w:lvl w:ilvl="6">
      <w:start w:val="0"/>
      <w:numFmt w:val="bullet"/>
      <w:lvlText w:val="•"/>
      <w:lvlJc w:val="left"/>
      <w:pPr>
        <w:ind w:left="6114" w:hanging="360"/>
      </w:pPr>
      <w:rPr>
        <w:rFonts w:hint="default"/>
        <w:lang w:val="id" w:eastAsia="en-US" w:bidi="ar-SA"/>
      </w:rPr>
    </w:lvl>
    <w:lvl w:ilvl="7">
      <w:start w:val="0"/>
      <w:numFmt w:val="bullet"/>
      <w:lvlText w:val="•"/>
      <w:lvlJc w:val="left"/>
      <w:pPr>
        <w:ind w:left="6916" w:hanging="360"/>
      </w:pPr>
      <w:rPr>
        <w:rFonts w:hint="default"/>
        <w:lang w:val="id" w:eastAsia="en-US" w:bidi="ar-SA"/>
      </w:rPr>
    </w:lvl>
    <w:lvl w:ilvl="8">
      <w:start w:val="0"/>
      <w:numFmt w:val="bullet"/>
      <w:lvlText w:val="•"/>
      <w:lvlJc w:val="left"/>
      <w:pPr>
        <w:ind w:left="7719" w:hanging="360"/>
      </w:pPr>
      <w:rPr>
        <w:rFonts w:hint="default"/>
        <w:lang w:val="id" w:eastAsia="en-US" w:bidi="ar-SA"/>
      </w:rPr>
    </w:lvl>
  </w:abstractNum>
  <w:abstractNum w:abstractNumId="22">
    <w:multiLevelType w:val="hybridMultilevel"/>
    <w:lvl w:ilvl="0">
      <w:start w:val="1"/>
      <w:numFmt w:val="lowerLetter"/>
      <w:lvlText w:val="%1."/>
      <w:lvlJc w:val="left"/>
      <w:pPr>
        <w:ind w:left="1153" w:hanging="284"/>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1976" w:hanging="284"/>
      </w:pPr>
      <w:rPr>
        <w:rFonts w:hint="default"/>
        <w:lang w:val="id" w:eastAsia="en-US" w:bidi="ar-SA"/>
      </w:rPr>
    </w:lvl>
    <w:lvl w:ilvl="2">
      <w:start w:val="0"/>
      <w:numFmt w:val="bullet"/>
      <w:lvlText w:val="•"/>
      <w:lvlJc w:val="left"/>
      <w:pPr>
        <w:ind w:left="2792" w:hanging="284"/>
      </w:pPr>
      <w:rPr>
        <w:rFonts w:hint="default"/>
        <w:lang w:val="id" w:eastAsia="en-US" w:bidi="ar-SA"/>
      </w:rPr>
    </w:lvl>
    <w:lvl w:ilvl="3">
      <w:start w:val="0"/>
      <w:numFmt w:val="bullet"/>
      <w:lvlText w:val="•"/>
      <w:lvlJc w:val="left"/>
      <w:pPr>
        <w:ind w:left="3609" w:hanging="284"/>
      </w:pPr>
      <w:rPr>
        <w:rFonts w:hint="default"/>
        <w:lang w:val="id" w:eastAsia="en-US" w:bidi="ar-SA"/>
      </w:rPr>
    </w:lvl>
    <w:lvl w:ilvl="4">
      <w:start w:val="0"/>
      <w:numFmt w:val="bullet"/>
      <w:lvlText w:val="•"/>
      <w:lvlJc w:val="left"/>
      <w:pPr>
        <w:ind w:left="4425" w:hanging="284"/>
      </w:pPr>
      <w:rPr>
        <w:rFonts w:hint="default"/>
        <w:lang w:val="id" w:eastAsia="en-US" w:bidi="ar-SA"/>
      </w:rPr>
    </w:lvl>
    <w:lvl w:ilvl="5">
      <w:start w:val="0"/>
      <w:numFmt w:val="bullet"/>
      <w:lvlText w:val="•"/>
      <w:lvlJc w:val="left"/>
      <w:pPr>
        <w:ind w:left="5242" w:hanging="284"/>
      </w:pPr>
      <w:rPr>
        <w:rFonts w:hint="default"/>
        <w:lang w:val="id" w:eastAsia="en-US" w:bidi="ar-SA"/>
      </w:rPr>
    </w:lvl>
    <w:lvl w:ilvl="6">
      <w:start w:val="0"/>
      <w:numFmt w:val="bullet"/>
      <w:lvlText w:val="•"/>
      <w:lvlJc w:val="left"/>
      <w:pPr>
        <w:ind w:left="6058" w:hanging="284"/>
      </w:pPr>
      <w:rPr>
        <w:rFonts w:hint="default"/>
        <w:lang w:val="id" w:eastAsia="en-US" w:bidi="ar-SA"/>
      </w:rPr>
    </w:lvl>
    <w:lvl w:ilvl="7">
      <w:start w:val="0"/>
      <w:numFmt w:val="bullet"/>
      <w:lvlText w:val="•"/>
      <w:lvlJc w:val="left"/>
      <w:pPr>
        <w:ind w:left="6874" w:hanging="284"/>
      </w:pPr>
      <w:rPr>
        <w:rFonts w:hint="default"/>
        <w:lang w:val="id" w:eastAsia="en-US" w:bidi="ar-SA"/>
      </w:rPr>
    </w:lvl>
    <w:lvl w:ilvl="8">
      <w:start w:val="0"/>
      <w:numFmt w:val="bullet"/>
      <w:lvlText w:val="•"/>
      <w:lvlJc w:val="left"/>
      <w:pPr>
        <w:ind w:left="7691" w:hanging="284"/>
      </w:pPr>
      <w:rPr>
        <w:rFonts w:hint="default"/>
        <w:lang w:val="id" w:eastAsia="en-US" w:bidi="ar-SA"/>
      </w:rPr>
    </w:lvl>
  </w:abstractNum>
  <w:abstractNum w:abstractNumId="21">
    <w:multiLevelType w:val="hybridMultilevel"/>
    <w:lvl w:ilvl="0">
      <w:start w:val="1"/>
      <w:numFmt w:val="decimal"/>
      <w:lvlText w:val="%1."/>
      <w:lvlJc w:val="left"/>
      <w:pPr>
        <w:ind w:left="1153" w:hanging="567"/>
        <w:jc w:val="left"/>
      </w:pPr>
      <w:rPr>
        <w:rFonts w:hint="default" w:ascii="Times New Roman" w:hAnsi="Times New Roman" w:eastAsia="Times New Roman" w:cs="Times New Roman"/>
        <w:spacing w:val="-10"/>
        <w:w w:val="99"/>
        <w:sz w:val="24"/>
        <w:szCs w:val="24"/>
        <w:lang w:val="id" w:eastAsia="en-US" w:bidi="ar-SA"/>
      </w:rPr>
    </w:lvl>
    <w:lvl w:ilvl="1">
      <w:start w:val="2"/>
      <w:numFmt w:val="decimal"/>
      <w:lvlText w:val="%2."/>
      <w:lvlJc w:val="left"/>
      <w:pPr>
        <w:ind w:left="1153" w:hanging="284"/>
        <w:jc w:val="left"/>
      </w:pPr>
      <w:rPr>
        <w:rFonts w:hint="default" w:ascii="Times New Roman" w:hAnsi="Times New Roman" w:eastAsia="Times New Roman" w:cs="Times New Roman"/>
        <w:spacing w:val="-17"/>
        <w:w w:val="99"/>
        <w:sz w:val="24"/>
        <w:szCs w:val="24"/>
        <w:lang w:val="id" w:eastAsia="en-US" w:bidi="ar-SA"/>
      </w:rPr>
    </w:lvl>
    <w:lvl w:ilvl="2">
      <w:start w:val="0"/>
      <w:numFmt w:val="bullet"/>
      <w:lvlText w:val="•"/>
      <w:lvlJc w:val="left"/>
      <w:pPr>
        <w:ind w:left="2792" w:hanging="284"/>
      </w:pPr>
      <w:rPr>
        <w:rFonts w:hint="default"/>
        <w:lang w:val="id" w:eastAsia="en-US" w:bidi="ar-SA"/>
      </w:rPr>
    </w:lvl>
    <w:lvl w:ilvl="3">
      <w:start w:val="0"/>
      <w:numFmt w:val="bullet"/>
      <w:lvlText w:val="•"/>
      <w:lvlJc w:val="left"/>
      <w:pPr>
        <w:ind w:left="3609" w:hanging="284"/>
      </w:pPr>
      <w:rPr>
        <w:rFonts w:hint="default"/>
        <w:lang w:val="id" w:eastAsia="en-US" w:bidi="ar-SA"/>
      </w:rPr>
    </w:lvl>
    <w:lvl w:ilvl="4">
      <w:start w:val="0"/>
      <w:numFmt w:val="bullet"/>
      <w:lvlText w:val="•"/>
      <w:lvlJc w:val="left"/>
      <w:pPr>
        <w:ind w:left="4425" w:hanging="284"/>
      </w:pPr>
      <w:rPr>
        <w:rFonts w:hint="default"/>
        <w:lang w:val="id" w:eastAsia="en-US" w:bidi="ar-SA"/>
      </w:rPr>
    </w:lvl>
    <w:lvl w:ilvl="5">
      <w:start w:val="0"/>
      <w:numFmt w:val="bullet"/>
      <w:lvlText w:val="•"/>
      <w:lvlJc w:val="left"/>
      <w:pPr>
        <w:ind w:left="5242" w:hanging="284"/>
      </w:pPr>
      <w:rPr>
        <w:rFonts w:hint="default"/>
        <w:lang w:val="id" w:eastAsia="en-US" w:bidi="ar-SA"/>
      </w:rPr>
    </w:lvl>
    <w:lvl w:ilvl="6">
      <w:start w:val="0"/>
      <w:numFmt w:val="bullet"/>
      <w:lvlText w:val="•"/>
      <w:lvlJc w:val="left"/>
      <w:pPr>
        <w:ind w:left="6058" w:hanging="284"/>
      </w:pPr>
      <w:rPr>
        <w:rFonts w:hint="default"/>
        <w:lang w:val="id" w:eastAsia="en-US" w:bidi="ar-SA"/>
      </w:rPr>
    </w:lvl>
    <w:lvl w:ilvl="7">
      <w:start w:val="0"/>
      <w:numFmt w:val="bullet"/>
      <w:lvlText w:val="•"/>
      <w:lvlJc w:val="left"/>
      <w:pPr>
        <w:ind w:left="6874" w:hanging="284"/>
      </w:pPr>
      <w:rPr>
        <w:rFonts w:hint="default"/>
        <w:lang w:val="id" w:eastAsia="en-US" w:bidi="ar-SA"/>
      </w:rPr>
    </w:lvl>
    <w:lvl w:ilvl="8">
      <w:start w:val="0"/>
      <w:numFmt w:val="bullet"/>
      <w:lvlText w:val="•"/>
      <w:lvlJc w:val="left"/>
      <w:pPr>
        <w:ind w:left="7691" w:hanging="284"/>
      </w:pPr>
      <w:rPr>
        <w:rFonts w:hint="default"/>
        <w:lang w:val="id" w:eastAsia="en-US" w:bidi="ar-SA"/>
      </w:rPr>
    </w:lvl>
  </w:abstractNum>
  <w:abstractNum w:abstractNumId="20">
    <w:multiLevelType w:val="hybridMultilevel"/>
    <w:lvl w:ilvl="0">
      <w:start w:val="4"/>
      <w:numFmt w:val="decimal"/>
      <w:lvlText w:val="%1"/>
      <w:lvlJc w:val="left"/>
      <w:pPr>
        <w:ind w:left="1153" w:hanging="567"/>
        <w:jc w:val="left"/>
      </w:pPr>
      <w:rPr>
        <w:rFonts w:hint="default"/>
        <w:lang w:val="id" w:eastAsia="en-US" w:bidi="ar-SA"/>
      </w:rPr>
    </w:lvl>
    <w:lvl w:ilvl="1">
      <w:start w:val="1"/>
      <w:numFmt w:val="decimal"/>
      <w:lvlText w:val="%1.%2"/>
      <w:lvlJc w:val="left"/>
      <w:pPr>
        <w:ind w:left="1153" w:hanging="567"/>
        <w:jc w:val="left"/>
      </w:pPr>
      <w:rPr>
        <w:rFonts w:hint="default" w:ascii="Times New Roman" w:hAnsi="Times New Roman" w:eastAsia="Times New Roman" w:cs="Times New Roman"/>
        <w:b/>
        <w:bCs/>
        <w:spacing w:val="-6"/>
        <w:w w:val="99"/>
        <w:sz w:val="24"/>
        <w:szCs w:val="24"/>
        <w:lang w:val="id" w:eastAsia="en-US" w:bidi="ar-SA"/>
      </w:rPr>
    </w:lvl>
    <w:lvl w:ilvl="2">
      <w:start w:val="1"/>
      <w:numFmt w:val="decimal"/>
      <w:lvlText w:val="%1.%2.%3"/>
      <w:lvlJc w:val="left"/>
      <w:pPr>
        <w:ind w:left="1153" w:hanging="567"/>
        <w:jc w:val="left"/>
      </w:pPr>
      <w:rPr>
        <w:rFonts w:hint="default" w:ascii="Times New Roman" w:hAnsi="Times New Roman" w:eastAsia="Times New Roman" w:cs="Times New Roman"/>
        <w:b/>
        <w:bCs/>
        <w:w w:val="100"/>
        <w:sz w:val="24"/>
        <w:szCs w:val="24"/>
        <w:lang w:val="id" w:eastAsia="en-US" w:bidi="ar-SA"/>
      </w:rPr>
    </w:lvl>
    <w:lvl w:ilvl="3">
      <w:start w:val="0"/>
      <w:numFmt w:val="bullet"/>
      <w:lvlText w:val="•"/>
      <w:lvlJc w:val="left"/>
      <w:pPr>
        <w:ind w:left="3609" w:hanging="567"/>
      </w:pPr>
      <w:rPr>
        <w:rFonts w:hint="default"/>
        <w:lang w:val="id" w:eastAsia="en-US" w:bidi="ar-SA"/>
      </w:rPr>
    </w:lvl>
    <w:lvl w:ilvl="4">
      <w:start w:val="0"/>
      <w:numFmt w:val="bullet"/>
      <w:lvlText w:val="•"/>
      <w:lvlJc w:val="left"/>
      <w:pPr>
        <w:ind w:left="4425" w:hanging="567"/>
      </w:pPr>
      <w:rPr>
        <w:rFonts w:hint="default"/>
        <w:lang w:val="id" w:eastAsia="en-US" w:bidi="ar-SA"/>
      </w:rPr>
    </w:lvl>
    <w:lvl w:ilvl="5">
      <w:start w:val="0"/>
      <w:numFmt w:val="bullet"/>
      <w:lvlText w:val="•"/>
      <w:lvlJc w:val="left"/>
      <w:pPr>
        <w:ind w:left="5242" w:hanging="567"/>
      </w:pPr>
      <w:rPr>
        <w:rFonts w:hint="default"/>
        <w:lang w:val="id" w:eastAsia="en-US" w:bidi="ar-SA"/>
      </w:rPr>
    </w:lvl>
    <w:lvl w:ilvl="6">
      <w:start w:val="0"/>
      <w:numFmt w:val="bullet"/>
      <w:lvlText w:val="•"/>
      <w:lvlJc w:val="left"/>
      <w:pPr>
        <w:ind w:left="6058" w:hanging="567"/>
      </w:pPr>
      <w:rPr>
        <w:rFonts w:hint="default"/>
        <w:lang w:val="id" w:eastAsia="en-US" w:bidi="ar-SA"/>
      </w:rPr>
    </w:lvl>
    <w:lvl w:ilvl="7">
      <w:start w:val="0"/>
      <w:numFmt w:val="bullet"/>
      <w:lvlText w:val="•"/>
      <w:lvlJc w:val="left"/>
      <w:pPr>
        <w:ind w:left="6874" w:hanging="567"/>
      </w:pPr>
      <w:rPr>
        <w:rFonts w:hint="default"/>
        <w:lang w:val="id" w:eastAsia="en-US" w:bidi="ar-SA"/>
      </w:rPr>
    </w:lvl>
    <w:lvl w:ilvl="8">
      <w:start w:val="0"/>
      <w:numFmt w:val="bullet"/>
      <w:lvlText w:val="•"/>
      <w:lvlJc w:val="left"/>
      <w:pPr>
        <w:ind w:left="7691" w:hanging="567"/>
      </w:pPr>
      <w:rPr>
        <w:rFonts w:hint="default"/>
        <w:lang w:val="id" w:eastAsia="en-US" w:bidi="ar-SA"/>
      </w:rPr>
    </w:lvl>
  </w:abstractNum>
  <w:abstractNum w:abstractNumId="19">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10"/>
        <w:w w:val="98"/>
        <w:position w:val="2"/>
        <w:sz w:val="24"/>
        <w:szCs w:val="24"/>
        <w:lang w:val="id" w:eastAsia="en-US" w:bidi="ar-SA"/>
      </w:rPr>
    </w:lvl>
    <w:lvl w:ilvl="1">
      <w:start w:val="0"/>
      <w:numFmt w:val="bullet"/>
      <w:lvlText w:val="•"/>
      <w:lvlJc w:val="left"/>
      <w:pPr>
        <w:ind w:left="2102" w:hanging="360"/>
      </w:pPr>
      <w:rPr>
        <w:rFonts w:hint="default"/>
        <w:lang w:val="id" w:eastAsia="en-US" w:bidi="ar-SA"/>
      </w:rPr>
    </w:lvl>
    <w:lvl w:ilvl="2">
      <w:start w:val="0"/>
      <w:numFmt w:val="bullet"/>
      <w:lvlText w:val="•"/>
      <w:lvlJc w:val="left"/>
      <w:pPr>
        <w:ind w:left="2904" w:hanging="360"/>
      </w:pPr>
      <w:rPr>
        <w:rFonts w:hint="default"/>
        <w:lang w:val="id" w:eastAsia="en-US" w:bidi="ar-SA"/>
      </w:rPr>
    </w:lvl>
    <w:lvl w:ilvl="3">
      <w:start w:val="0"/>
      <w:numFmt w:val="bullet"/>
      <w:lvlText w:val="•"/>
      <w:lvlJc w:val="left"/>
      <w:pPr>
        <w:ind w:left="3707" w:hanging="360"/>
      </w:pPr>
      <w:rPr>
        <w:rFonts w:hint="default"/>
        <w:lang w:val="id" w:eastAsia="en-US" w:bidi="ar-SA"/>
      </w:rPr>
    </w:lvl>
    <w:lvl w:ilvl="4">
      <w:start w:val="0"/>
      <w:numFmt w:val="bullet"/>
      <w:lvlText w:val="•"/>
      <w:lvlJc w:val="left"/>
      <w:pPr>
        <w:ind w:left="4509" w:hanging="360"/>
      </w:pPr>
      <w:rPr>
        <w:rFonts w:hint="default"/>
        <w:lang w:val="id" w:eastAsia="en-US" w:bidi="ar-SA"/>
      </w:rPr>
    </w:lvl>
    <w:lvl w:ilvl="5">
      <w:start w:val="0"/>
      <w:numFmt w:val="bullet"/>
      <w:lvlText w:val="•"/>
      <w:lvlJc w:val="left"/>
      <w:pPr>
        <w:ind w:left="5312" w:hanging="360"/>
      </w:pPr>
      <w:rPr>
        <w:rFonts w:hint="default"/>
        <w:lang w:val="id" w:eastAsia="en-US" w:bidi="ar-SA"/>
      </w:rPr>
    </w:lvl>
    <w:lvl w:ilvl="6">
      <w:start w:val="0"/>
      <w:numFmt w:val="bullet"/>
      <w:lvlText w:val="•"/>
      <w:lvlJc w:val="left"/>
      <w:pPr>
        <w:ind w:left="6114" w:hanging="360"/>
      </w:pPr>
      <w:rPr>
        <w:rFonts w:hint="default"/>
        <w:lang w:val="id" w:eastAsia="en-US" w:bidi="ar-SA"/>
      </w:rPr>
    </w:lvl>
    <w:lvl w:ilvl="7">
      <w:start w:val="0"/>
      <w:numFmt w:val="bullet"/>
      <w:lvlText w:val="•"/>
      <w:lvlJc w:val="left"/>
      <w:pPr>
        <w:ind w:left="6916" w:hanging="360"/>
      </w:pPr>
      <w:rPr>
        <w:rFonts w:hint="default"/>
        <w:lang w:val="id" w:eastAsia="en-US" w:bidi="ar-SA"/>
      </w:rPr>
    </w:lvl>
    <w:lvl w:ilvl="8">
      <w:start w:val="0"/>
      <w:numFmt w:val="bullet"/>
      <w:lvlText w:val="•"/>
      <w:lvlJc w:val="left"/>
      <w:pPr>
        <w:ind w:left="7719" w:hanging="360"/>
      </w:pPr>
      <w:rPr>
        <w:rFonts w:hint="default"/>
        <w:lang w:val="id" w:eastAsia="en-US" w:bidi="ar-SA"/>
      </w:rPr>
    </w:lvl>
  </w:abstractNum>
  <w:abstractNum w:abstractNumId="18">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30"/>
        <w:w w:val="98"/>
        <w:position w:val="2"/>
        <w:sz w:val="24"/>
        <w:szCs w:val="24"/>
        <w:lang w:val="id" w:eastAsia="en-US" w:bidi="ar-SA"/>
      </w:rPr>
    </w:lvl>
    <w:lvl w:ilvl="1">
      <w:start w:val="0"/>
      <w:numFmt w:val="bullet"/>
      <w:lvlText w:val="•"/>
      <w:lvlJc w:val="left"/>
      <w:pPr>
        <w:ind w:left="2102" w:hanging="360"/>
      </w:pPr>
      <w:rPr>
        <w:rFonts w:hint="default"/>
        <w:lang w:val="id" w:eastAsia="en-US" w:bidi="ar-SA"/>
      </w:rPr>
    </w:lvl>
    <w:lvl w:ilvl="2">
      <w:start w:val="0"/>
      <w:numFmt w:val="bullet"/>
      <w:lvlText w:val="•"/>
      <w:lvlJc w:val="left"/>
      <w:pPr>
        <w:ind w:left="2904" w:hanging="360"/>
      </w:pPr>
      <w:rPr>
        <w:rFonts w:hint="default"/>
        <w:lang w:val="id" w:eastAsia="en-US" w:bidi="ar-SA"/>
      </w:rPr>
    </w:lvl>
    <w:lvl w:ilvl="3">
      <w:start w:val="0"/>
      <w:numFmt w:val="bullet"/>
      <w:lvlText w:val="•"/>
      <w:lvlJc w:val="left"/>
      <w:pPr>
        <w:ind w:left="3707" w:hanging="360"/>
      </w:pPr>
      <w:rPr>
        <w:rFonts w:hint="default"/>
        <w:lang w:val="id" w:eastAsia="en-US" w:bidi="ar-SA"/>
      </w:rPr>
    </w:lvl>
    <w:lvl w:ilvl="4">
      <w:start w:val="0"/>
      <w:numFmt w:val="bullet"/>
      <w:lvlText w:val="•"/>
      <w:lvlJc w:val="left"/>
      <w:pPr>
        <w:ind w:left="4509" w:hanging="360"/>
      </w:pPr>
      <w:rPr>
        <w:rFonts w:hint="default"/>
        <w:lang w:val="id" w:eastAsia="en-US" w:bidi="ar-SA"/>
      </w:rPr>
    </w:lvl>
    <w:lvl w:ilvl="5">
      <w:start w:val="0"/>
      <w:numFmt w:val="bullet"/>
      <w:lvlText w:val="•"/>
      <w:lvlJc w:val="left"/>
      <w:pPr>
        <w:ind w:left="5312" w:hanging="360"/>
      </w:pPr>
      <w:rPr>
        <w:rFonts w:hint="default"/>
        <w:lang w:val="id" w:eastAsia="en-US" w:bidi="ar-SA"/>
      </w:rPr>
    </w:lvl>
    <w:lvl w:ilvl="6">
      <w:start w:val="0"/>
      <w:numFmt w:val="bullet"/>
      <w:lvlText w:val="•"/>
      <w:lvlJc w:val="left"/>
      <w:pPr>
        <w:ind w:left="6114" w:hanging="360"/>
      </w:pPr>
      <w:rPr>
        <w:rFonts w:hint="default"/>
        <w:lang w:val="id" w:eastAsia="en-US" w:bidi="ar-SA"/>
      </w:rPr>
    </w:lvl>
    <w:lvl w:ilvl="7">
      <w:start w:val="0"/>
      <w:numFmt w:val="bullet"/>
      <w:lvlText w:val="•"/>
      <w:lvlJc w:val="left"/>
      <w:pPr>
        <w:ind w:left="6916" w:hanging="360"/>
      </w:pPr>
      <w:rPr>
        <w:rFonts w:hint="default"/>
        <w:lang w:val="id" w:eastAsia="en-US" w:bidi="ar-SA"/>
      </w:rPr>
    </w:lvl>
    <w:lvl w:ilvl="8">
      <w:start w:val="0"/>
      <w:numFmt w:val="bullet"/>
      <w:lvlText w:val="•"/>
      <w:lvlJc w:val="left"/>
      <w:pPr>
        <w:ind w:left="7719" w:hanging="360"/>
      </w:pPr>
      <w:rPr>
        <w:rFonts w:hint="default"/>
        <w:lang w:val="id" w:eastAsia="en-US" w:bidi="ar-SA"/>
      </w:rPr>
    </w:lvl>
  </w:abstractNum>
  <w:abstractNum w:abstractNumId="17">
    <w:multiLevelType w:val="hybridMultilevel"/>
    <w:lvl w:ilvl="0">
      <w:start w:val="1"/>
      <w:numFmt w:val="lowerLetter"/>
      <w:lvlText w:val="%1."/>
      <w:lvlJc w:val="left"/>
      <w:pPr>
        <w:ind w:left="1153" w:hanging="284"/>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1976" w:hanging="284"/>
      </w:pPr>
      <w:rPr>
        <w:rFonts w:hint="default"/>
        <w:lang w:val="id" w:eastAsia="en-US" w:bidi="ar-SA"/>
      </w:rPr>
    </w:lvl>
    <w:lvl w:ilvl="2">
      <w:start w:val="0"/>
      <w:numFmt w:val="bullet"/>
      <w:lvlText w:val="•"/>
      <w:lvlJc w:val="left"/>
      <w:pPr>
        <w:ind w:left="2792" w:hanging="284"/>
      </w:pPr>
      <w:rPr>
        <w:rFonts w:hint="default"/>
        <w:lang w:val="id" w:eastAsia="en-US" w:bidi="ar-SA"/>
      </w:rPr>
    </w:lvl>
    <w:lvl w:ilvl="3">
      <w:start w:val="0"/>
      <w:numFmt w:val="bullet"/>
      <w:lvlText w:val="•"/>
      <w:lvlJc w:val="left"/>
      <w:pPr>
        <w:ind w:left="3609" w:hanging="284"/>
      </w:pPr>
      <w:rPr>
        <w:rFonts w:hint="default"/>
        <w:lang w:val="id" w:eastAsia="en-US" w:bidi="ar-SA"/>
      </w:rPr>
    </w:lvl>
    <w:lvl w:ilvl="4">
      <w:start w:val="0"/>
      <w:numFmt w:val="bullet"/>
      <w:lvlText w:val="•"/>
      <w:lvlJc w:val="left"/>
      <w:pPr>
        <w:ind w:left="4425" w:hanging="284"/>
      </w:pPr>
      <w:rPr>
        <w:rFonts w:hint="default"/>
        <w:lang w:val="id" w:eastAsia="en-US" w:bidi="ar-SA"/>
      </w:rPr>
    </w:lvl>
    <w:lvl w:ilvl="5">
      <w:start w:val="0"/>
      <w:numFmt w:val="bullet"/>
      <w:lvlText w:val="•"/>
      <w:lvlJc w:val="left"/>
      <w:pPr>
        <w:ind w:left="5242" w:hanging="284"/>
      </w:pPr>
      <w:rPr>
        <w:rFonts w:hint="default"/>
        <w:lang w:val="id" w:eastAsia="en-US" w:bidi="ar-SA"/>
      </w:rPr>
    </w:lvl>
    <w:lvl w:ilvl="6">
      <w:start w:val="0"/>
      <w:numFmt w:val="bullet"/>
      <w:lvlText w:val="•"/>
      <w:lvlJc w:val="left"/>
      <w:pPr>
        <w:ind w:left="6058" w:hanging="284"/>
      </w:pPr>
      <w:rPr>
        <w:rFonts w:hint="default"/>
        <w:lang w:val="id" w:eastAsia="en-US" w:bidi="ar-SA"/>
      </w:rPr>
    </w:lvl>
    <w:lvl w:ilvl="7">
      <w:start w:val="0"/>
      <w:numFmt w:val="bullet"/>
      <w:lvlText w:val="•"/>
      <w:lvlJc w:val="left"/>
      <w:pPr>
        <w:ind w:left="6874" w:hanging="284"/>
      </w:pPr>
      <w:rPr>
        <w:rFonts w:hint="default"/>
        <w:lang w:val="id" w:eastAsia="en-US" w:bidi="ar-SA"/>
      </w:rPr>
    </w:lvl>
    <w:lvl w:ilvl="8">
      <w:start w:val="0"/>
      <w:numFmt w:val="bullet"/>
      <w:lvlText w:val="•"/>
      <w:lvlJc w:val="left"/>
      <w:pPr>
        <w:ind w:left="7691" w:hanging="284"/>
      </w:pPr>
      <w:rPr>
        <w:rFonts w:hint="default"/>
        <w:lang w:val="id" w:eastAsia="en-US" w:bidi="ar-SA"/>
      </w:rPr>
    </w:lvl>
  </w:abstractNum>
  <w:abstractNum w:abstractNumId="16">
    <w:multiLevelType w:val="hybridMultilevel"/>
    <w:lvl w:ilvl="0">
      <w:start w:val="1"/>
      <w:numFmt w:val="lowerLetter"/>
      <w:lvlText w:val="%1."/>
      <w:lvlJc w:val="left"/>
      <w:pPr>
        <w:ind w:left="1153" w:hanging="284"/>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1976" w:hanging="284"/>
      </w:pPr>
      <w:rPr>
        <w:rFonts w:hint="default"/>
        <w:lang w:val="id" w:eastAsia="en-US" w:bidi="ar-SA"/>
      </w:rPr>
    </w:lvl>
    <w:lvl w:ilvl="2">
      <w:start w:val="0"/>
      <w:numFmt w:val="bullet"/>
      <w:lvlText w:val="•"/>
      <w:lvlJc w:val="left"/>
      <w:pPr>
        <w:ind w:left="2792" w:hanging="284"/>
      </w:pPr>
      <w:rPr>
        <w:rFonts w:hint="default"/>
        <w:lang w:val="id" w:eastAsia="en-US" w:bidi="ar-SA"/>
      </w:rPr>
    </w:lvl>
    <w:lvl w:ilvl="3">
      <w:start w:val="0"/>
      <w:numFmt w:val="bullet"/>
      <w:lvlText w:val="•"/>
      <w:lvlJc w:val="left"/>
      <w:pPr>
        <w:ind w:left="3609" w:hanging="284"/>
      </w:pPr>
      <w:rPr>
        <w:rFonts w:hint="default"/>
        <w:lang w:val="id" w:eastAsia="en-US" w:bidi="ar-SA"/>
      </w:rPr>
    </w:lvl>
    <w:lvl w:ilvl="4">
      <w:start w:val="0"/>
      <w:numFmt w:val="bullet"/>
      <w:lvlText w:val="•"/>
      <w:lvlJc w:val="left"/>
      <w:pPr>
        <w:ind w:left="4425" w:hanging="284"/>
      </w:pPr>
      <w:rPr>
        <w:rFonts w:hint="default"/>
        <w:lang w:val="id" w:eastAsia="en-US" w:bidi="ar-SA"/>
      </w:rPr>
    </w:lvl>
    <w:lvl w:ilvl="5">
      <w:start w:val="0"/>
      <w:numFmt w:val="bullet"/>
      <w:lvlText w:val="•"/>
      <w:lvlJc w:val="left"/>
      <w:pPr>
        <w:ind w:left="5242" w:hanging="284"/>
      </w:pPr>
      <w:rPr>
        <w:rFonts w:hint="default"/>
        <w:lang w:val="id" w:eastAsia="en-US" w:bidi="ar-SA"/>
      </w:rPr>
    </w:lvl>
    <w:lvl w:ilvl="6">
      <w:start w:val="0"/>
      <w:numFmt w:val="bullet"/>
      <w:lvlText w:val="•"/>
      <w:lvlJc w:val="left"/>
      <w:pPr>
        <w:ind w:left="6058" w:hanging="284"/>
      </w:pPr>
      <w:rPr>
        <w:rFonts w:hint="default"/>
        <w:lang w:val="id" w:eastAsia="en-US" w:bidi="ar-SA"/>
      </w:rPr>
    </w:lvl>
    <w:lvl w:ilvl="7">
      <w:start w:val="0"/>
      <w:numFmt w:val="bullet"/>
      <w:lvlText w:val="•"/>
      <w:lvlJc w:val="left"/>
      <w:pPr>
        <w:ind w:left="6874" w:hanging="284"/>
      </w:pPr>
      <w:rPr>
        <w:rFonts w:hint="default"/>
        <w:lang w:val="id" w:eastAsia="en-US" w:bidi="ar-SA"/>
      </w:rPr>
    </w:lvl>
    <w:lvl w:ilvl="8">
      <w:start w:val="0"/>
      <w:numFmt w:val="bullet"/>
      <w:lvlText w:val="•"/>
      <w:lvlJc w:val="left"/>
      <w:pPr>
        <w:ind w:left="7691" w:hanging="284"/>
      </w:pPr>
      <w:rPr>
        <w:rFonts w:hint="default"/>
        <w:lang w:val="id" w:eastAsia="en-US" w:bidi="ar-SA"/>
      </w:rPr>
    </w:lvl>
  </w:abstractNum>
  <w:abstractNum w:abstractNumId="15">
    <w:multiLevelType w:val="hybridMultilevel"/>
    <w:lvl w:ilvl="0">
      <w:start w:val="3"/>
      <w:numFmt w:val="decimal"/>
      <w:lvlText w:val="%1"/>
      <w:lvlJc w:val="left"/>
      <w:pPr>
        <w:ind w:left="1013" w:hanging="428"/>
        <w:jc w:val="left"/>
      </w:pPr>
      <w:rPr>
        <w:rFonts w:hint="default"/>
        <w:lang w:val="id" w:eastAsia="en-US" w:bidi="ar-SA"/>
      </w:rPr>
    </w:lvl>
    <w:lvl w:ilvl="1">
      <w:start w:val="1"/>
      <w:numFmt w:val="decimal"/>
      <w:lvlText w:val="%1.%2"/>
      <w:lvlJc w:val="left"/>
      <w:pPr>
        <w:ind w:left="1013" w:hanging="428"/>
        <w:jc w:val="left"/>
      </w:pPr>
      <w:rPr>
        <w:rFonts w:hint="default" w:ascii="Times New Roman" w:hAnsi="Times New Roman" w:eastAsia="Times New Roman" w:cs="Times New Roman"/>
        <w:b/>
        <w:bCs/>
        <w:spacing w:val="-5"/>
        <w:w w:val="99"/>
        <w:sz w:val="24"/>
        <w:szCs w:val="24"/>
        <w:lang w:val="id" w:eastAsia="en-US" w:bidi="ar-SA"/>
      </w:rPr>
    </w:lvl>
    <w:lvl w:ilvl="2">
      <w:start w:val="1"/>
      <w:numFmt w:val="decimal"/>
      <w:lvlText w:val="%1.%2.%3"/>
      <w:lvlJc w:val="left"/>
      <w:pPr>
        <w:ind w:left="1153" w:hanging="567"/>
        <w:jc w:val="left"/>
      </w:pPr>
      <w:rPr>
        <w:rFonts w:hint="default"/>
        <w:b/>
        <w:bCs/>
        <w:w w:val="100"/>
        <w:lang w:val="id" w:eastAsia="en-US" w:bidi="ar-SA"/>
      </w:rPr>
    </w:lvl>
    <w:lvl w:ilvl="3">
      <w:start w:val="1"/>
      <w:numFmt w:val="decimal"/>
      <w:lvlText w:val="%1.%2.%3.%4"/>
      <w:lvlJc w:val="left"/>
      <w:pPr>
        <w:ind w:left="1306" w:hanging="720"/>
        <w:jc w:val="left"/>
      </w:pPr>
      <w:rPr>
        <w:rFonts w:hint="default" w:ascii="Times New Roman" w:hAnsi="Times New Roman" w:eastAsia="Times New Roman" w:cs="Times New Roman"/>
        <w:b/>
        <w:bCs/>
        <w:spacing w:val="-5"/>
        <w:w w:val="100"/>
        <w:sz w:val="24"/>
        <w:szCs w:val="24"/>
        <w:lang w:val="id" w:eastAsia="en-US" w:bidi="ar-SA"/>
      </w:rPr>
    </w:lvl>
    <w:lvl w:ilvl="4">
      <w:start w:val="1"/>
      <w:numFmt w:val="decimal"/>
      <w:lvlText w:val="%5."/>
      <w:lvlJc w:val="left"/>
      <w:pPr>
        <w:ind w:left="1513" w:hanging="361"/>
        <w:jc w:val="left"/>
      </w:pPr>
      <w:rPr>
        <w:rFonts w:hint="default" w:ascii="Times New Roman" w:hAnsi="Times New Roman" w:eastAsia="Times New Roman" w:cs="Times New Roman"/>
        <w:spacing w:val="-10"/>
        <w:w w:val="99"/>
        <w:sz w:val="24"/>
        <w:szCs w:val="24"/>
        <w:lang w:val="id" w:eastAsia="en-US" w:bidi="ar-SA"/>
      </w:rPr>
    </w:lvl>
    <w:lvl w:ilvl="5">
      <w:start w:val="0"/>
      <w:numFmt w:val="bullet"/>
      <w:lvlText w:val="•"/>
      <w:lvlJc w:val="left"/>
      <w:pPr>
        <w:ind w:left="3749" w:hanging="361"/>
      </w:pPr>
      <w:rPr>
        <w:rFonts w:hint="default"/>
        <w:lang w:val="id" w:eastAsia="en-US" w:bidi="ar-SA"/>
      </w:rPr>
    </w:lvl>
    <w:lvl w:ilvl="6">
      <w:start w:val="0"/>
      <w:numFmt w:val="bullet"/>
      <w:lvlText w:val="•"/>
      <w:lvlJc w:val="left"/>
      <w:pPr>
        <w:ind w:left="4864" w:hanging="361"/>
      </w:pPr>
      <w:rPr>
        <w:rFonts w:hint="default"/>
        <w:lang w:val="id" w:eastAsia="en-US" w:bidi="ar-SA"/>
      </w:rPr>
    </w:lvl>
    <w:lvl w:ilvl="7">
      <w:start w:val="0"/>
      <w:numFmt w:val="bullet"/>
      <w:lvlText w:val="•"/>
      <w:lvlJc w:val="left"/>
      <w:pPr>
        <w:ind w:left="5979" w:hanging="361"/>
      </w:pPr>
      <w:rPr>
        <w:rFonts w:hint="default"/>
        <w:lang w:val="id" w:eastAsia="en-US" w:bidi="ar-SA"/>
      </w:rPr>
    </w:lvl>
    <w:lvl w:ilvl="8">
      <w:start w:val="0"/>
      <w:numFmt w:val="bullet"/>
      <w:lvlText w:val="•"/>
      <w:lvlJc w:val="left"/>
      <w:pPr>
        <w:ind w:left="7094" w:hanging="361"/>
      </w:pPr>
      <w:rPr>
        <w:rFonts w:hint="default"/>
        <w:lang w:val="id" w:eastAsia="en-US" w:bidi="ar-SA"/>
      </w:rPr>
    </w:lvl>
  </w:abstractNum>
  <w:abstractNum w:abstractNumId="14">
    <w:multiLevelType w:val="hybridMultilevel"/>
    <w:lvl w:ilvl="0">
      <w:start w:val="1"/>
      <w:numFmt w:val="decimal"/>
      <w:lvlText w:val="%1."/>
      <w:lvlJc w:val="left"/>
      <w:pPr>
        <w:ind w:left="1153"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976" w:hanging="284"/>
      </w:pPr>
      <w:rPr>
        <w:rFonts w:hint="default"/>
        <w:lang w:val="id" w:eastAsia="en-US" w:bidi="ar-SA"/>
      </w:rPr>
    </w:lvl>
    <w:lvl w:ilvl="2">
      <w:start w:val="0"/>
      <w:numFmt w:val="bullet"/>
      <w:lvlText w:val="•"/>
      <w:lvlJc w:val="left"/>
      <w:pPr>
        <w:ind w:left="2792" w:hanging="284"/>
      </w:pPr>
      <w:rPr>
        <w:rFonts w:hint="default"/>
        <w:lang w:val="id" w:eastAsia="en-US" w:bidi="ar-SA"/>
      </w:rPr>
    </w:lvl>
    <w:lvl w:ilvl="3">
      <w:start w:val="0"/>
      <w:numFmt w:val="bullet"/>
      <w:lvlText w:val="•"/>
      <w:lvlJc w:val="left"/>
      <w:pPr>
        <w:ind w:left="3609" w:hanging="284"/>
      </w:pPr>
      <w:rPr>
        <w:rFonts w:hint="default"/>
        <w:lang w:val="id" w:eastAsia="en-US" w:bidi="ar-SA"/>
      </w:rPr>
    </w:lvl>
    <w:lvl w:ilvl="4">
      <w:start w:val="0"/>
      <w:numFmt w:val="bullet"/>
      <w:lvlText w:val="•"/>
      <w:lvlJc w:val="left"/>
      <w:pPr>
        <w:ind w:left="4425" w:hanging="284"/>
      </w:pPr>
      <w:rPr>
        <w:rFonts w:hint="default"/>
        <w:lang w:val="id" w:eastAsia="en-US" w:bidi="ar-SA"/>
      </w:rPr>
    </w:lvl>
    <w:lvl w:ilvl="5">
      <w:start w:val="0"/>
      <w:numFmt w:val="bullet"/>
      <w:lvlText w:val="•"/>
      <w:lvlJc w:val="left"/>
      <w:pPr>
        <w:ind w:left="5242" w:hanging="284"/>
      </w:pPr>
      <w:rPr>
        <w:rFonts w:hint="default"/>
        <w:lang w:val="id" w:eastAsia="en-US" w:bidi="ar-SA"/>
      </w:rPr>
    </w:lvl>
    <w:lvl w:ilvl="6">
      <w:start w:val="0"/>
      <w:numFmt w:val="bullet"/>
      <w:lvlText w:val="•"/>
      <w:lvlJc w:val="left"/>
      <w:pPr>
        <w:ind w:left="6058" w:hanging="284"/>
      </w:pPr>
      <w:rPr>
        <w:rFonts w:hint="default"/>
        <w:lang w:val="id" w:eastAsia="en-US" w:bidi="ar-SA"/>
      </w:rPr>
    </w:lvl>
    <w:lvl w:ilvl="7">
      <w:start w:val="0"/>
      <w:numFmt w:val="bullet"/>
      <w:lvlText w:val="•"/>
      <w:lvlJc w:val="left"/>
      <w:pPr>
        <w:ind w:left="6874" w:hanging="284"/>
      </w:pPr>
      <w:rPr>
        <w:rFonts w:hint="default"/>
        <w:lang w:val="id" w:eastAsia="en-US" w:bidi="ar-SA"/>
      </w:rPr>
    </w:lvl>
    <w:lvl w:ilvl="8">
      <w:start w:val="0"/>
      <w:numFmt w:val="bullet"/>
      <w:lvlText w:val="•"/>
      <w:lvlJc w:val="left"/>
      <w:pPr>
        <w:ind w:left="7691" w:hanging="284"/>
      </w:pPr>
      <w:rPr>
        <w:rFonts w:hint="default"/>
        <w:lang w:val="id" w:eastAsia="en-US" w:bidi="ar-SA"/>
      </w:rPr>
    </w:lvl>
  </w:abstractNum>
  <w:abstractNum w:abstractNumId="13">
    <w:multiLevelType w:val="hybridMultilevel"/>
    <w:lvl w:ilvl="0">
      <w:start w:val="1"/>
      <w:numFmt w:val="decimal"/>
      <w:lvlText w:val="%1."/>
      <w:lvlJc w:val="left"/>
      <w:pPr>
        <w:ind w:left="1153"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976" w:hanging="284"/>
      </w:pPr>
      <w:rPr>
        <w:rFonts w:hint="default"/>
        <w:lang w:val="id" w:eastAsia="en-US" w:bidi="ar-SA"/>
      </w:rPr>
    </w:lvl>
    <w:lvl w:ilvl="2">
      <w:start w:val="0"/>
      <w:numFmt w:val="bullet"/>
      <w:lvlText w:val="•"/>
      <w:lvlJc w:val="left"/>
      <w:pPr>
        <w:ind w:left="2792" w:hanging="284"/>
      </w:pPr>
      <w:rPr>
        <w:rFonts w:hint="default"/>
        <w:lang w:val="id" w:eastAsia="en-US" w:bidi="ar-SA"/>
      </w:rPr>
    </w:lvl>
    <w:lvl w:ilvl="3">
      <w:start w:val="0"/>
      <w:numFmt w:val="bullet"/>
      <w:lvlText w:val="•"/>
      <w:lvlJc w:val="left"/>
      <w:pPr>
        <w:ind w:left="3609" w:hanging="284"/>
      </w:pPr>
      <w:rPr>
        <w:rFonts w:hint="default"/>
        <w:lang w:val="id" w:eastAsia="en-US" w:bidi="ar-SA"/>
      </w:rPr>
    </w:lvl>
    <w:lvl w:ilvl="4">
      <w:start w:val="0"/>
      <w:numFmt w:val="bullet"/>
      <w:lvlText w:val="•"/>
      <w:lvlJc w:val="left"/>
      <w:pPr>
        <w:ind w:left="4425" w:hanging="284"/>
      </w:pPr>
      <w:rPr>
        <w:rFonts w:hint="default"/>
        <w:lang w:val="id" w:eastAsia="en-US" w:bidi="ar-SA"/>
      </w:rPr>
    </w:lvl>
    <w:lvl w:ilvl="5">
      <w:start w:val="0"/>
      <w:numFmt w:val="bullet"/>
      <w:lvlText w:val="•"/>
      <w:lvlJc w:val="left"/>
      <w:pPr>
        <w:ind w:left="5242" w:hanging="284"/>
      </w:pPr>
      <w:rPr>
        <w:rFonts w:hint="default"/>
        <w:lang w:val="id" w:eastAsia="en-US" w:bidi="ar-SA"/>
      </w:rPr>
    </w:lvl>
    <w:lvl w:ilvl="6">
      <w:start w:val="0"/>
      <w:numFmt w:val="bullet"/>
      <w:lvlText w:val="•"/>
      <w:lvlJc w:val="left"/>
      <w:pPr>
        <w:ind w:left="6058" w:hanging="284"/>
      </w:pPr>
      <w:rPr>
        <w:rFonts w:hint="default"/>
        <w:lang w:val="id" w:eastAsia="en-US" w:bidi="ar-SA"/>
      </w:rPr>
    </w:lvl>
    <w:lvl w:ilvl="7">
      <w:start w:val="0"/>
      <w:numFmt w:val="bullet"/>
      <w:lvlText w:val="•"/>
      <w:lvlJc w:val="left"/>
      <w:pPr>
        <w:ind w:left="6874" w:hanging="284"/>
      </w:pPr>
      <w:rPr>
        <w:rFonts w:hint="default"/>
        <w:lang w:val="id" w:eastAsia="en-US" w:bidi="ar-SA"/>
      </w:rPr>
    </w:lvl>
    <w:lvl w:ilvl="8">
      <w:start w:val="0"/>
      <w:numFmt w:val="bullet"/>
      <w:lvlText w:val="•"/>
      <w:lvlJc w:val="left"/>
      <w:pPr>
        <w:ind w:left="7691" w:hanging="284"/>
      </w:pPr>
      <w:rPr>
        <w:rFonts w:hint="default"/>
        <w:lang w:val="id" w:eastAsia="en-US" w:bidi="ar-SA"/>
      </w:rPr>
    </w:lvl>
  </w:abstractNum>
  <w:abstractNum w:abstractNumId="12">
    <w:multiLevelType w:val="hybridMultilevel"/>
    <w:lvl w:ilvl="0">
      <w:start w:val="1"/>
      <w:numFmt w:val="lowerLetter"/>
      <w:lvlText w:val="%1."/>
      <w:lvlJc w:val="left"/>
      <w:pPr>
        <w:ind w:left="1513" w:hanging="361"/>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300" w:hanging="361"/>
      </w:pPr>
      <w:rPr>
        <w:rFonts w:hint="default"/>
        <w:lang w:val="id" w:eastAsia="en-US" w:bidi="ar-SA"/>
      </w:rPr>
    </w:lvl>
    <w:lvl w:ilvl="2">
      <w:start w:val="0"/>
      <w:numFmt w:val="bullet"/>
      <w:lvlText w:val="•"/>
      <w:lvlJc w:val="left"/>
      <w:pPr>
        <w:ind w:left="3080" w:hanging="361"/>
      </w:pPr>
      <w:rPr>
        <w:rFonts w:hint="default"/>
        <w:lang w:val="id" w:eastAsia="en-US" w:bidi="ar-SA"/>
      </w:rPr>
    </w:lvl>
    <w:lvl w:ilvl="3">
      <w:start w:val="0"/>
      <w:numFmt w:val="bullet"/>
      <w:lvlText w:val="•"/>
      <w:lvlJc w:val="left"/>
      <w:pPr>
        <w:ind w:left="3861" w:hanging="361"/>
      </w:pPr>
      <w:rPr>
        <w:rFonts w:hint="default"/>
        <w:lang w:val="id" w:eastAsia="en-US" w:bidi="ar-SA"/>
      </w:rPr>
    </w:lvl>
    <w:lvl w:ilvl="4">
      <w:start w:val="0"/>
      <w:numFmt w:val="bullet"/>
      <w:lvlText w:val="•"/>
      <w:lvlJc w:val="left"/>
      <w:pPr>
        <w:ind w:left="4641" w:hanging="361"/>
      </w:pPr>
      <w:rPr>
        <w:rFonts w:hint="default"/>
        <w:lang w:val="id" w:eastAsia="en-US" w:bidi="ar-SA"/>
      </w:rPr>
    </w:lvl>
    <w:lvl w:ilvl="5">
      <w:start w:val="0"/>
      <w:numFmt w:val="bullet"/>
      <w:lvlText w:val="•"/>
      <w:lvlJc w:val="left"/>
      <w:pPr>
        <w:ind w:left="5422" w:hanging="361"/>
      </w:pPr>
      <w:rPr>
        <w:rFonts w:hint="default"/>
        <w:lang w:val="id" w:eastAsia="en-US" w:bidi="ar-SA"/>
      </w:rPr>
    </w:lvl>
    <w:lvl w:ilvl="6">
      <w:start w:val="0"/>
      <w:numFmt w:val="bullet"/>
      <w:lvlText w:val="•"/>
      <w:lvlJc w:val="left"/>
      <w:pPr>
        <w:ind w:left="6202" w:hanging="361"/>
      </w:pPr>
      <w:rPr>
        <w:rFonts w:hint="default"/>
        <w:lang w:val="id" w:eastAsia="en-US" w:bidi="ar-SA"/>
      </w:rPr>
    </w:lvl>
    <w:lvl w:ilvl="7">
      <w:start w:val="0"/>
      <w:numFmt w:val="bullet"/>
      <w:lvlText w:val="•"/>
      <w:lvlJc w:val="left"/>
      <w:pPr>
        <w:ind w:left="6982" w:hanging="361"/>
      </w:pPr>
      <w:rPr>
        <w:rFonts w:hint="default"/>
        <w:lang w:val="id" w:eastAsia="en-US" w:bidi="ar-SA"/>
      </w:rPr>
    </w:lvl>
    <w:lvl w:ilvl="8">
      <w:start w:val="0"/>
      <w:numFmt w:val="bullet"/>
      <w:lvlText w:val="•"/>
      <w:lvlJc w:val="left"/>
      <w:pPr>
        <w:ind w:left="7763" w:hanging="361"/>
      </w:pPr>
      <w:rPr>
        <w:rFonts w:hint="default"/>
        <w:lang w:val="id" w:eastAsia="en-US" w:bidi="ar-SA"/>
      </w:rPr>
    </w:lvl>
  </w:abstractNum>
  <w:abstractNum w:abstractNumId="11">
    <w:multiLevelType w:val="hybridMultilevel"/>
    <w:lvl w:ilvl="0">
      <w:start w:val="1"/>
      <w:numFmt w:val="decimal"/>
      <w:lvlText w:val="%1."/>
      <w:lvlJc w:val="left"/>
      <w:pPr>
        <w:ind w:left="1153" w:hanging="284"/>
        <w:jc w:val="left"/>
      </w:pPr>
      <w:rPr>
        <w:rFonts w:hint="default" w:ascii="Times New Roman" w:hAnsi="Times New Roman" w:eastAsia="Times New Roman" w:cs="Times New Roman"/>
        <w:spacing w:val="-17"/>
        <w:w w:val="99"/>
        <w:sz w:val="24"/>
        <w:szCs w:val="24"/>
        <w:lang w:val="id" w:eastAsia="en-US" w:bidi="ar-SA"/>
      </w:rPr>
    </w:lvl>
    <w:lvl w:ilvl="1">
      <w:start w:val="1"/>
      <w:numFmt w:val="lowerLetter"/>
      <w:lvlText w:val="%2"/>
      <w:lvlJc w:val="left"/>
      <w:pPr>
        <w:ind w:left="1436" w:hanging="284"/>
        <w:jc w:val="left"/>
      </w:pPr>
      <w:rPr>
        <w:rFonts w:hint="default" w:ascii="Times New Roman" w:hAnsi="Times New Roman" w:eastAsia="Times New Roman" w:cs="Times New Roman"/>
        <w:spacing w:val="-25"/>
        <w:w w:val="99"/>
        <w:sz w:val="24"/>
        <w:szCs w:val="24"/>
        <w:lang w:val="id" w:eastAsia="en-US" w:bidi="ar-SA"/>
      </w:rPr>
    </w:lvl>
    <w:lvl w:ilvl="2">
      <w:start w:val="0"/>
      <w:numFmt w:val="bullet"/>
      <w:lvlText w:val="•"/>
      <w:lvlJc w:val="left"/>
      <w:pPr>
        <w:ind w:left="2316" w:hanging="284"/>
      </w:pPr>
      <w:rPr>
        <w:rFonts w:hint="default"/>
        <w:lang w:val="id" w:eastAsia="en-US" w:bidi="ar-SA"/>
      </w:rPr>
    </w:lvl>
    <w:lvl w:ilvl="3">
      <w:start w:val="0"/>
      <w:numFmt w:val="bullet"/>
      <w:lvlText w:val="•"/>
      <w:lvlJc w:val="left"/>
      <w:pPr>
        <w:ind w:left="3192" w:hanging="284"/>
      </w:pPr>
      <w:rPr>
        <w:rFonts w:hint="default"/>
        <w:lang w:val="id" w:eastAsia="en-US" w:bidi="ar-SA"/>
      </w:rPr>
    </w:lvl>
    <w:lvl w:ilvl="4">
      <w:start w:val="0"/>
      <w:numFmt w:val="bullet"/>
      <w:lvlText w:val="•"/>
      <w:lvlJc w:val="left"/>
      <w:pPr>
        <w:ind w:left="4068" w:hanging="284"/>
      </w:pPr>
      <w:rPr>
        <w:rFonts w:hint="default"/>
        <w:lang w:val="id" w:eastAsia="en-US" w:bidi="ar-SA"/>
      </w:rPr>
    </w:lvl>
    <w:lvl w:ilvl="5">
      <w:start w:val="0"/>
      <w:numFmt w:val="bullet"/>
      <w:lvlText w:val="•"/>
      <w:lvlJc w:val="left"/>
      <w:pPr>
        <w:ind w:left="4944" w:hanging="284"/>
      </w:pPr>
      <w:rPr>
        <w:rFonts w:hint="default"/>
        <w:lang w:val="id" w:eastAsia="en-US" w:bidi="ar-SA"/>
      </w:rPr>
    </w:lvl>
    <w:lvl w:ilvl="6">
      <w:start w:val="0"/>
      <w:numFmt w:val="bullet"/>
      <w:lvlText w:val="•"/>
      <w:lvlJc w:val="left"/>
      <w:pPr>
        <w:ind w:left="5820" w:hanging="284"/>
      </w:pPr>
      <w:rPr>
        <w:rFonts w:hint="default"/>
        <w:lang w:val="id" w:eastAsia="en-US" w:bidi="ar-SA"/>
      </w:rPr>
    </w:lvl>
    <w:lvl w:ilvl="7">
      <w:start w:val="0"/>
      <w:numFmt w:val="bullet"/>
      <w:lvlText w:val="•"/>
      <w:lvlJc w:val="left"/>
      <w:pPr>
        <w:ind w:left="6696" w:hanging="284"/>
      </w:pPr>
      <w:rPr>
        <w:rFonts w:hint="default"/>
        <w:lang w:val="id" w:eastAsia="en-US" w:bidi="ar-SA"/>
      </w:rPr>
    </w:lvl>
    <w:lvl w:ilvl="8">
      <w:start w:val="0"/>
      <w:numFmt w:val="bullet"/>
      <w:lvlText w:val="•"/>
      <w:lvlJc w:val="left"/>
      <w:pPr>
        <w:ind w:left="7572" w:hanging="284"/>
      </w:pPr>
      <w:rPr>
        <w:rFonts w:hint="default"/>
        <w:lang w:val="id" w:eastAsia="en-US" w:bidi="ar-SA"/>
      </w:rPr>
    </w:lvl>
  </w:abstractNum>
  <w:abstractNum w:abstractNumId="10">
    <w:multiLevelType w:val="hybridMultilevel"/>
    <w:lvl w:ilvl="0">
      <w:start w:val="1"/>
      <w:numFmt w:val="decimal"/>
      <w:lvlText w:val="%1."/>
      <w:lvlJc w:val="left"/>
      <w:pPr>
        <w:ind w:left="869"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706" w:hanging="284"/>
      </w:pPr>
      <w:rPr>
        <w:rFonts w:hint="default"/>
        <w:lang w:val="id" w:eastAsia="en-US" w:bidi="ar-SA"/>
      </w:rPr>
    </w:lvl>
    <w:lvl w:ilvl="2">
      <w:start w:val="0"/>
      <w:numFmt w:val="bullet"/>
      <w:lvlText w:val="•"/>
      <w:lvlJc w:val="left"/>
      <w:pPr>
        <w:ind w:left="2552" w:hanging="284"/>
      </w:pPr>
      <w:rPr>
        <w:rFonts w:hint="default"/>
        <w:lang w:val="id" w:eastAsia="en-US" w:bidi="ar-SA"/>
      </w:rPr>
    </w:lvl>
    <w:lvl w:ilvl="3">
      <w:start w:val="0"/>
      <w:numFmt w:val="bullet"/>
      <w:lvlText w:val="•"/>
      <w:lvlJc w:val="left"/>
      <w:pPr>
        <w:ind w:left="3399" w:hanging="284"/>
      </w:pPr>
      <w:rPr>
        <w:rFonts w:hint="default"/>
        <w:lang w:val="id" w:eastAsia="en-US" w:bidi="ar-SA"/>
      </w:rPr>
    </w:lvl>
    <w:lvl w:ilvl="4">
      <w:start w:val="0"/>
      <w:numFmt w:val="bullet"/>
      <w:lvlText w:val="•"/>
      <w:lvlJc w:val="left"/>
      <w:pPr>
        <w:ind w:left="4245" w:hanging="284"/>
      </w:pPr>
      <w:rPr>
        <w:rFonts w:hint="default"/>
        <w:lang w:val="id" w:eastAsia="en-US" w:bidi="ar-SA"/>
      </w:rPr>
    </w:lvl>
    <w:lvl w:ilvl="5">
      <w:start w:val="0"/>
      <w:numFmt w:val="bullet"/>
      <w:lvlText w:val="•"/>
      <w:lvlJc w:val="left"/>
      <w:pPr>
        <w:ind w:left="5092" w:hanging="284"/>
      </w:pPr>
      <w:rPr>
        <w:rFonts w:hint="default"/>
        <w:lang w:val="id" w:eastAsia="en-US" w:bidi="ar-SA"/>
      </w:rPr>
    </w:lvl>
    <w:lvl w:ilvl="6">
      <w:start w:val="0"/>
      <w:numFmt w:val="bullet"/>
      <w:lvlText w:val="•"/>
      <w:lvlJc w:val="left"/>
      <w:pPr>
        <w:ind w:left="5938" w:hanging="284"/>
      </w:pPr>
      <w:rPr>
        <w:rFonts w:hint="default"/>
        <w:lang w:val="id" w:eastAsia="en-US" w:bidi="ar-SA"/>
      </w:rPr>
    </w:lvl>
    <w:lvl w:ilvl="7">
      <w:start w:val="0"/>
      <w:numFmt w:val="bullet"/>
      <w:lvlText w:val="•"/>
      <w:lvlJc w:val="left"/>
      <w:pPr>
        <w:ind w:left="6784" w:hanging="284"/>
      </w:pPr>
      <w:rPr>
        <w:rFonts w:hint="default"/>
        <w:lang w:val="id" w:eastAsia="en-US" w:bidi="ar-SA"/>
      </w:rPr>
    </w:lvl>
    <w:lvl w:ilvl="8">
      <w:start w:val="0"/>
      <w:numFmt w:val="bullet"/>
      <w:lvlText w:val="•"/>
      <w:lvlJc w:val="left"/>
      <w:pPr>
        <w:ind w:left="7631" w:hanging="284"/>
      </w:pPr>
      <w:rPr>
        <w:rFonts w:hint="default"/>
        <w:lang w:val="id" w:eastAsia="en-US" w:bidi="ar-SA"/>
      </w:rPr>
    </w:lvl>
  </w:abstractNum>
  <w:abstractNum w:abstractNumId="9">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30"/>
        <w:w w:val="99"/>
        <w:sz w:val="24"/>
        <w:szCs w:val="24"/>
        <w:lang w:val="id" w:eastAsia="en-US" w:bidi="ar-SA"/>
      </w:rPr>
    </w:lvl>
    <w:lvl w:ilvl="1">
      <w:start w:val="1"/>
      <w:numFmt w:val="lowerLetter"/>
      <w:lvlText w:val="%2."/>
      <w:lvlJc w:val="left"/>
      <w:pPr>
        <w:ind w:left="1719" w:hanging="361"/>
        <w:jc w:val="left"/>
      </w:pPr>
      <w:rPr>
        <w:rFonts w:hint="default" w:ascii="Times New Roman" w:hAnsi="Times New Roman" w:eastAsia="Times New Roman" w:cs="Times New Roman"/>
        <w:spacing w:val="-30"/>
        <w:w w:val="99"/>
        <w:sz w:val="24"/>
        <w:szCs w:val="24"/>
        <w:lang w:val="id" w:eastAsia="en-US" w:bidi="ar-SA"/>
      </w:rPr>
    </w:lvl>
    <w:lvl w:ilvl="2">
      <w:start w:val="0"/>
      <w:numFmt w:val="bullet"/>
      <w:lvlText w:val="•"/>
      <w:lvlJc w:val="left"/>
      <w:pPr>
        <w:ind w:left="2564" w:hanging="361"/>
      </w:pPr>
      <w:rPr>
        <w:rFonts w:hint="default"/>
        <w:lang w:val="id" w:eastAsia="en-US" w:bidi="ar-SA"/>
      </w:rPr>
    </w:lvl>
    <w:lvl w:ilvl="3">
      <w:start w:val="0"/>
      <w:numFmt w:val="bullet"/>
      <w:lvlText w:val="•"/>
      <w:lvlJc w:val="left"/>
      <w:pPr>
        <w:ind w:left="3409" w:hanging="361"/>
      </w:pPr>
      <w:rPr>
        <w:rFonts w:hint="default"/>
        <w:lang w:val="id" w:eastAsia="en-US" w:bidi="ar-SA"/>
      </w:rPr>
    </w:lvl>
    <w:lvl w:ilvl="4">
      <w:start w:val="0"/>
      <w:numFmt w:val="bullet"/>
      <w:lvlText w:val="•"/>
      <w:lvlJc w:val="left"/>
      <w:pPr>
        <w:ind w:left="4254" w:hanging="361"/>
      </w:pPr>
      <w:rPr>
        <w:rFonts w:hint="default"/>
        <w:lang w:val="id" w:eastAsia="en-US" w:bidi="ar-SA"/>
      </w:rPr>
    </w:lvl>
    <w:lvl w:ilvl="5">
      <w:start w:val="0"/>
      <w:numFmt w:val="bullet"/>
      <w:lvlText w:val="•"/>
      <w:lvlJc w:val="left"/>
      <w:pPr>
        <w:ind w:left="5099" w:hanging="361"/>
      </w:pPr>
      <w:rPr>
        <w:rFonts w:hint="default"/>
        <w:lang w:val="id" w:eastAsia="en-US" w:bidi="ar-SA"/>
      </w:rPr>
    </w:lvl>
    <w:lvl w:ilvl="6">
      <w:start w:val="0"/>
      <w:numFmt w:val="bullet"/>
      <w:lvlText w:val="•"/>
      <w:lvlJc w:val="left"/>
      <w:pPr>
        <w:ind w:left="5944" w:hanging="361"/>
      </w:pPr>
      <w:rPr>
        <w:rFonts w:hint="default"/>
        <w:lang w:val="id" w:eastAsia="en-US" w:bidi="ar-SA"/>
      </w:rPr>
    </w:lvl>
    <w:lvl w:ilvl="7">
      <w:start w:val="0"/>
      <w:numFmt w:val="bullet"/>
      <w:lvlText w:val="•"/>
      <w:lvlJc w:val="left"/>
      <w:pPr>
        <w:ind w:left="6789" w:hanging="361"/>
      </w:pPr>
      <w:rPr>
        <w:rFonts w:hint="default"/>
        <w:lang w:val="id" w:eastAsia="en-US" w:bidi="ar-SA"/>
      </w:rPr>
    </w:lvl>
    <w:lvl w:ilvl="8">
      <w:start w:val="0"/>
      <w:numFmt w:val="bullet"/>
      <w:lvlText w:val="•"/>
      <w:lvlJc w:val="left"/>
      <w:pPr>
        <w:ind w:left="7634" w:hanging="361"/>
      </w:pPr>
      <w:rPr>
        <w:rFonts w:hint="default"/>
        <w:lang w:val="id" w:eastAsia="en-US" w:bidi="ar-SA"/>
      </w:rPr>
    </w:lvl>
  </w:abstractNum>
  <w:abstractNum w:abstractNumId="8">
    <w:multiLevelType w:val="hybridMultilevel"/>
    <w:lvl w:ilvl="0">
      <w:start w:val="1"/>
      <w:numFmt w:val="decimal"/>
      <w:lvlText w:val="%1."/>
      <w:lvlJc w:val="left"/>
      <w:pPr>
        <w:ind w:left="869" w:hanging="284"/>
        <w:jc w:val="left"/>
      </w:pPr>
      <w:rPr>
        <w:rFonts w:hint="default" w:ascii="Times New Roman" w:hAnsi="Times New Roman" w:eastAsia="Times New Roman" w:cs="Times New Roman"/>
        <w:spacing w:val="-27"/>
        <w:w w:val="99"/>
        <w:sz w:val="24"/>
        <w:szCs w:val="24"/>
        <w:lang w:val="id" w:eastAsia="en-US" w:bidi="ar-SA"/>
      </w:rPr>
    </w:lvl>
    <w:lvl w:ilvl="1">
      <w:start w:val="1"/>
      <w:numFmt w:val="lowerLetter"/>
      <w:lvlText w:val="%2."/>
      <w:lvlJc w:val="left"/>
      <w:pPr>
        <w:ind w:left="1153" w:hanging="284"/>
        <w:jc w:val="lef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2067" w:hanging="284"/>
      </w:pPr>
      <w:rPr>
        <w:rFonts w:hint="default"/>
        <w:lang w:val="id" w:eastAsia="en-US" w:bidi="ar-SA"/>
      </w:rPr>
    </w:lvl>
    <w:lvl w:ilvl="3">
      <w:start w:val="0"/>
      <w:numFmt w:val="bullet"/>
      <w:lvlText w:val="•"/>
      <w:lvlJc w:val="left"/>
      <w:pPr>
        <w:ind w:left="2974" w:hanging="284"/>
      </w:pPr>
      <w:rPr>
        <w:rFonts w:hint="default"/>
        <w:lang w:val="id" w:eastAsia="en-US" w:bidi="ar-SA"/>
      </w:rPr>
    </w:lvl>
    <w:lvl w:ilvl="4">
      <w:start w:val="0"/>
      <w:numFmt w:val="bullet"/>
      <w:lvlText w:val="•"/>
      <w:lvlJc w:val="left"/>
      <w:pPr>
        <w:ind w:left="3881" w:hanging="284"/>
      </w:pPr>
      <w:rPr>
        <w:rFonts w:hint="default"/>
        <w:lang w:val="id" w:eastAsia="en-US" w:bidi="ar-SA"/>
      </w:rPr>
    </w:lvl>
    <w:lvl w:ilvl="5">
      <w:start w:val="0"/>
      <w:numFmt w:val="bullet"/>
      <w:lvlText w:val="•"/>
      <w:lvlJc w:val="left"/>
      <w:pPr>
        <w:ind w:left="4788" w:hanging="284"/>
      </w:pPr>
      <w:rPr>
        <w:rFonts w:hint="default"/>
        <w:lang w:val="id" w:eastAsia="en-US" w:bidi="ar-SA"/>
      </w:rPr>
    </w:lvl>
    <w:lvl w:ilvl="6">
      <w:start w:val="0"/>
      <w:numFmt w:val="bullet"/>
      <w:lvlText w:val="•"/>
      <w:lvlJc w:val="left"/>
      <w:pPr>
        <w:ind w:left="5695" w:hanging="284"/>
      </w:pPr>
      <w:rPr>
        <w:rFonts w:hint="default"/>
        <w:lang w:val="id" w:eastAsia="en-US" w:bidi="ar-SA"/>
      </w:rPr>
    </w:lvl>
    <w:lvl w:ilvl="7">
      <w:start w:val="0"/>
      <w:numFmt w:val="bullet"/>
      <w:lvlText w:val="•"/>
      <w:lvlJc w:val="left"/>
      <w:pPr>
        <w:ind w:left="6602" w:hanging="284"/>
      </w:pPr>
      <w:rPr>
        <w:rFonts w:hint="default"/>
        <w:lang w:val="id" w:eastAsia="en-US" w:bidi="ar-SA"/>
      </w:rPr>
    </w:lvl>
    <w:lvl w:ilvl="8">
      <w:start w:val="0"/>
      <w:numFmt w:val="bullet"/>
      <w:lvlText w:val="•"/>
      <w:lvlJc w:val="left"/>
      <w:pPr>
        <w:ind w:left="7509" w:hanging="284"/>
      </w:pPr>
      <w:rPr>
        <w:rFonts w:hint="default"/>
        <w:lang w:val="id" w:eastAsia="en-US" w:bidi="ar-SA"/>
      </w:rPr>
    </w:lvl>
  </w:abstractNum>
  <w:abstractNum w:abstractNumId="7">
    <w:multiLevelType w:val="hybridMultilevel"/>
    <w:lvl w:ilvl="0">
      <w:start w:val="2"/>
      <w:numFmt w:val="decimal"/>
      <w:lvlText w:val="%1"/>
      <w:lvlJc w:val="left"/>
      <w:pPr>
        <w:ind w:left="1013" w:hanging="428"/>
        <w:jc w:val="left"/>
      </w:pPr>
      <w:rPr>
        <w:rFonts w:hint="default"/>
        <w:lang w:val="id" w:eastAsia="en-US" w:bidi="ar-SA"/>
      </w:rPr>
    </w:lvl>
    <w:lvl w:ilvl="1">
      <w:start w:val="1"/>
      <w:numFmt w:val="decimal"/>
      <w:lvlText w:val="%1.%2"/>
      <w:lvlJc w:val="left"/>
      <w:pPr>
        <w:ind w:left="1013" w:hanging="428"/>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1.%2.%3"/>
      <w:lvlJc w:val="left"/>
      <w:pPr>
        <w:ind w:left="1153" w:hanging="567"/>
        <w:jc w:val="left"/>
      </w:pPr>
      <w:rPr>
        <w:rFonts w:hint="default" w:ascii="Times New Roman" w:hAnsi="Times New Roman" w:eastAsia="Times New Roman" w:cs="Times New Roman"/>
        <w:b/>
        <w:bCs/>
        <w:w w:val="100"/>
        <w:sz w:val="24"/>
        <w:szCs w:val="24"/>
        <w:lang w:val="id" w:eastAsia="en-US" w:bidi="ar-SA"/>
      </w:rPr>
    </w:lvl>
    <w:lvl w:ilvl="3">
      <w:start w:val="1"/>
      <w:numFmt w:val="decimal"/>
      <w:lvlText w:val="%4."/>
      <w:lvlJc w:val="left"/>
      <w:pPr>
        <w:ind w:left="1306" w:hanging="360"/>
        <w:jc w:val="left"/>
      </w:pPr>
      <w:rPr>
        <w:rFonts w:hint="default" w:ascii="Times New Roman" w:hAnsi="Times New Roman" w:eastAsia="Times New Roman" w:cs="Times New Roman"/>
        <w:spacing w:val="-7"/>
        <w:w w:val="99"/>
        <w:sz w:val="24"/>
        <w:szCs w:val="24"/>
        <w:lang w:val="id" w:eastAsia="en-US" w:bidi="ar-SA"/>
      </w:rPr>
    </w:lvl>
    <w:lvl w:ilvl="4">
      <w:start w:val="1"/>
      <w:numFmt w:val="decimal"/>
      <w:lvlText w:val="%5."/>
      <w:lvlJc w:val="left"/>
      <w:pPr>
        <w:ind w:left="1513" w:hanging="361"/>
        <w:jc w:val="left"/>
      </w:pPr>
      <w:rPr>
        <w:rFonts w:hint="default" w:ascii="Times New Roman" w:hAnsi="Times New Roman" w:eastAsia="Times New Roman" w:cs="Times New Roman"/>
        <w:spacing w:val="-10"/>
        <w:w w:val="99"/>
        <w:sz w:val="24"/>
        <w:szCs w:val="24"/>
        <w:lang w:val="id" w:eastAsia="en-US" w:bidi="ar-SA"/>
      </w:rPr>
    </w:lvl>
    <w:lvl w:ilvl="5">
      <w:start w:val="0"/>
      <w:numFmt w:val="bullet"/>
      <w:lvlText w:val="•"/>
      <w:lvlJc w:val="left"/>
      <w:pPr>
        <w:ind w:left="3749" w:hanging="361"/>
      </w:pPr>
      <w:rPr>
        <w:rFonts w:hint="default"/>
        <w:lang w:val="id" w:eastAsia="en-US" w:bidi="ar-SA"/>
      </w:rPr>
    </w:lvl>
    <w:lvl w:ilvl="6">
      <w:start w:val="0"/>
      <w:numFmt w:val="bullet"/>
      <w:lvlText w:val="•"/>
      <w:lvlJc w:val="left"/>
      <w:pPr>
        <w:ind w:left="4864" w:hanging="361"/>
      </w:pPr>
      <w:rPr>
        <w:rFonts w:hint="default"/>
        <w:lang w:val="id" w:eastAsia="en-US" w:bidi="ar-SA"/>
      </w:rPr>
    </w:lvl>
    <w:lvl w:ilvl="7">
      <w:start w:val="0"/>
      <w:numFmt w:val="bullet"/>
      <w:lvlText w:val="•"/>
      <w:lvlJc w:val="left"/>
      <w:pPr>
        <w:ind w:left="5979" w:hanging="361"/>
      </w:pPr>
      <w:rPr>
        <w:rFonts w:hint="default"/>
        <w:lang w:val="id" w:eastAsia="en-US" w:bidi="ar-SA"/>
      </w:rPr>
    </w:lvl>
    <w:lvl w:ilvl="8">
      <w:start w:val="0"/>
      <w:numFmt w:val="bullet"/>
      <w:lvlText w:val="•"/>
      <w:lvlJc w:val="left"/>
      <w:pPr>
        <w:ind w:left="7094" w:hanging="361"/>
      </w:pPr>
      <w:rPr>
        <w:rFonts w:hint="default"/>
        <w:lang w:val="id" w:eastAsia="en-US" w:bidi="ar-SA"/>
      </w:rPr>
    </w:lvl>
  </w:abstractNum>
  <w:abstractNum w:abstractNumId="6">
    <w:multiLevelType w:val="hybridMultilevel"/>
    <w:lvl w:ilvl="0">
      <w:start w:val="1"/>
      <w:numFmt w:val="decimal"/>
      <w:lvlText w:val="%1"/>
      <w:lvlJc w:val="left"/>
      <w:pPr>
        <w:ind w:left="1153" w:hanging="567"/>
        <w:jc w:val="left"/>
      </w:pPr>
      <w:rPr>
        <w:rFonts w:hint="default"/>
        <w:lang w:val="id" w:eastAsia="en-US" w:bidi="ar-SA"/>
      </w:rPr>
    </w:lvl>
    <w:lvl w:ilvl="1">
      <w:start w:val="3"/>
      <w:numFmt w:val="decimal"/>
      <w:lvlText w:val="%1.%2"/>
      <w:lvlJc w:val="left"/>
      <w:pPr>
        <w:ind w:left="1153" w:hanging="567"/>
        <w:jc w:val="left"/>
      </w:pPr>
      <w:rPr>
        <w:rFonts w:hint="default"/>
        <w:lang w:val="id" w:eastAsia="en-US" w:bidi="ar-SA"/>
      </w:rPr>
    </w:lvl>
    <w:lvl w:ilvl="2">
      <w:start w:val="1"/>
      <w:numFmt w:val="decimal"/>
      <w:lvlText w:val="%1.%2.%3"/>
      <w:lvlJc w:val="left"/>
      <w:pPr>
        <w:ind w:left="1153" w:hanging="567"/>
        <w:jc w:val="left"/>
      </w:pPr>
      <w:rPr>
        <w:rFonts w:hint="default" w:ascii="Times New Roman" w:hAnsi="Times New Roman" w:eastAsia="Times New Roman" w:cs="Times New Roman"/>
        <w:b/>
        <w:bCs/>
        <w:w w:val="100"/>
        <w:sz w:val="24"/>
        <w:szCs w:val="24"/>
        <w:lang w:val="id" w:eastAsia="en-US" w:bidi="ar-SA"/>
      </w:rPr>
    </w:lvl>
    <w:lvl w:ilvl="3">
      <w:start w:val="0"/>
      <w:numFmt w:val="bullet"/>
      <w:lvlText w:val="•"/>
      <w:lvlJc w:val="left"/>
      <w:pPr>
        <w:ind w:left="3609" w:hanging="567"/>
      </w:pPr>
      <w:rPr>
        <w:rFonts w:hint="default"/>
        <w:lang w:val="id" w:eastAsia="en-US" w:bidi="ar-SA"/>
      </w:rPr>
    </w:lvl>
    <w:lvl w:ilvl="4">
      <w:start w:val="0"/>
      <w:numFmt w:val="bullet"/>
      <w:lvlText w:val="•"/>
      <w:lvlJc w:val="left"/>
      <w:pPr>
        <w:ind w:left="4425" w:hanging="567"/>
      </w:pPr>
      <w:rPr>
        <w:rFonts w:hint="default"/>
        <w:lang w:val="id" w:eastAsia="en-US" w:bidi="ar-SA"/>
      </w:rPr>
    </w:lvl>
    <w:lvl w:ilvl="5">
      <w:start w:val="0"/>
      <w:numFmt w:val="bullet"/>
      <w:lvlText w:val="•"/>
      <w:lvlJc w:val="left"/>
      <w:pPr>
        <w:ind w:left="5242" w:hanging="567"/>
      </w:pPr>
      <w:rPr>
        <w:rFonts w:hint="default"/>
        <w:lang w:val="id" w:eastAsia="en-US" w:bidi="ar-SA"/>
      </w:rPr>
    </w:lvl>
    <w:lvl w:ilvl="6">
      <w:start w:val="0"/>
      <w:numFmt w:val="bullet"/>
      <w:lvlText w:val="•"/>
      <w:lvlJc w:val="left"/>
      <w:pPr>
        <w:ind w:left="6058" w:hanging="567"/>
      </w:pPr>
      <w:rPr>
        <w:rFonts w:hint="default"/>
        <w:lang w:val="id" w:eastAsia="en-US" w:bidi="ar-SA"/>
      </w:rPr>
    </w:lvl>
    <w:lvl w:ilvl="7">
      <w:start w:val="0"/>
      <w:numFmt w:val="bullet"/>
      <w:lvlText w:val="•"/>
      <w:lvlJc w:val="left"/>
      <w:pPr>
        <w:ind w:left="6874" w:hanging="567"/>
      </w:pPr>
      <w:rPr>
        <w:rFonts w:hint="default"/>
        <w:lang w:val="id" w:eastAsia="en-US" w:bidi="ar-SA"/>
      </w:rPr>
    </w:lvl>
    <w:lvl w:ilvl="8">
      <w:start w:val="0"/>
      <w:numFmt w:val="bullet"/>
      <w:lvlText w:val="•"/>
      <w:lvlJc w:val="left"/>
      <w:pPr>
        <w:ind w:left="7691" w:hanging="567"/>
      </w:pPr>
      <w:rPr>
        <w:rFonts w:hint="default"/>
        <w:lang w:val="id" w:eastAsia="en-US" w:bidi="ar-SA"/>
      </w:rPr>
    </w:lvl>
  </w:abstractNum>
  <w:abstractNum w:abstractNumId="5">
    <w:multiLevelType w:val="hybridMultilevel"/>
    <w:lvl w:ilvl="0">
      <w:start w:val="1"/>
      <w:numFmt w:val="decimal"/>
      <w:lvlText w:val="%1"/>
      <w:lvlJc w:val="left"/>
      <w:pPr>
        <w:ind w:left="1306" w:hanging="720"/>
        <w:jc w:val="left"/>
      </w:pPr>
      <w:rPr>
        <w:rFonts w:hint="default"/>
        <w:lang w:val="id" w:eastAsia="en-US" w:bidi="ar-SA"/>
      </w:rPr>
    </w:lvl>
    <w:lvl w:ilvl="1">
      <w:start w:val="1"/>
      <w:numFmt w:val="decimal"/>
      <w:lvlText w:val="%1.%2"/>
      <w:lvlJc w:val="left"/>
      <w:pPr>
        <w:ind w:left="1306" w:hanging="720"/>
        <w:jc w:val="left"/>
      </w:pPr>
      <w:rPr>
        <w:rFonts w:hint="default" w:ascii="Times New Roman" w:hAnsi="Times New Roman" w:eastAsia="Times New Roman" w:cs="Times New Roman"/>
        <w:b/>
        <w:bCs/>
        <w:spacing w:val="-5"/>
        <w:w w:val="99"/>
        <w:sz w:val="24"/>
        <w:szCs w:val="24"/>
        <w:lang w:val="id" w:eastAsia="en-US" w:bidi="ar-SA"/>
      </w:rPr>
    </w:lvl>
    <w:lvl w:ilvl="2">
      <w:start w:val="1"/>
      <w:numFmt w:val="decimal"/>
      <w:lvlText w:val="%3."/>
      <w:lvlJc w:val="left"/>
      <w:pPr>
        <w:ind w:left="1306" w:hanging="360"/>
        <w:jc w:val="left"/>
      </w:pPr>
      <w:rPr>
        <w:rFonts w:hint="default" w:ascii="Times New Roman" w:hAnsi="Times New Roman" w:eastAsia="Times New Roman" w:cs="Times New Roman"/>
        <w:spacing w:val="-10"/>
        <w:w w:val="99"/>
        <w:sz w:val="24"/>
        <w:szCs w:val="24"/>
        <w:lang w:val="id" w:eastAsia="en-US" w:bidi="ar-SA"/>
      </w:rPr>
    </w:lvl>
    <w:lvl w:ilvl="3">
      <w:start w:val="0"/>
      <w:numFmt w:val="bullet"/>
      <w:lvlText w:val="•"/>
      <w:lvlJc w:val="left"/>
      <w:pPr>
        <w:ind w:left="3707" w:hanging="360"/>
      </w:pPr>
      <w:rPr>
        <w:rFonts w:hint="default"/>
        <w:lang w:val="id" w:eastAsia="en-US" w:bidi="ar-SA"/>
      </w:rPr>
    </w:lvl>
    <w:lvl w:ilvl="4">
      <w:start w:val="0"/>
      <w:numFmt w:val="bullet"/>
      <w:lvlText w:val="•"/>
      <w:lvlJc w:val="left"/>
      <w:pPr>
        <w:ind w:left="4509" w:hanging="360"/>
      </w:pPr>
      <w:rPr>
        <w:rFonts w:hint="default"/>
        <w:lang w:val="id" w:eastAsia="en-US" w:bidi="ar-SA"/>
      </w:rPr>
    </w:lvl>
    <w:lvl w:ilvl="5">
      <w:start w:val="0"/>
      <w:numFmt w:val="bullet"/>
      <w:lvlText w:val="•"/>
      <w:lvlJc w:val="left"/>
      <w:pPr>
        <w:ind w:left="5312" w:hanging="360"/>
      </w:pPr>
      <w:rPr>
        <w:rFonts w:hint="default"/>
        <w:lang w:val="id" w:eastAsia="en-US" w:bidi="ar-SA"/>
      </w:rPr>
    </w:lvl>
    <w:lvl w:ilvl="6">
      <w:start w:val="0"/>
      <w:numFmt w:val="bullet"/>
      <w:lvlText w:val="•"/>
      <w:lvlJc w:val="left"/>
      <w:pPr>
        <w:ind w:left="6114" w:hanging="360"/>
      </w:pPr>
      <w:rPr>
        <w:rFonts w:hint="default"/>
        <w:lang w:val="id" w:eastAsia="en-US" w:bidi="ar-SA"/>
      </w:rPr>
    </w:lvl>
    <w:lvl w:ilvl="7">
      <w:start w:val="0"/>
      <w:numFmt w:val="bullet"/>
      <w:lvlText w:val="•"/>
      <w:lvlJc w:val="left"/>
      <w:pPr>
        <w:ind w:left="6916" w:hanging="360"/>
      </w:pPr>
      <w:rPr>
        <w:rFonts w:hint="default"/>
        <w:lang w:val="id" w:eastAsia="en-US" w:bidi="ar-SA"/>
      </w:rPr>
    </w:lvl>
    <w:lvl w:ilvl="8">
      <w:start w:val="0"/>
      <w:numFmt w:val="bullet"/>
      <w:lvlText w:val="•"/>
      <w:lvlJc w:val="left"/>
      <w:pPr>
        <w:ind w:left="7719" w:hanging="360"/>
      </w:pPr>
      <w:rPr>
        <w:rFonts w:hint="default"/>
        <w:lang w:val="id" w:eastAsia="en-US" w:bidi="ar-SA"/>
      </w:rPr>
    </w:lvl>
  </w:abstractNum>
  <w:abstractNum w:abstractNumId="4">
    <w:multiLevelType w:val="hybridMultilevel"/>
    <w:lvl w:ilvl="0">
      <w:start w:val="5"/>
      <w:numFmt w:val="decimal"/>
      <w:lvlText w:val="%1"/>
      <w:lvlJc w:val="left"/>
      <w:pPr>
        <w:ind w:left="2147" w:hanging="428"/>
        <w:jc w:val="left"/>
      </w:pPr>
      <w:rPr>
        <w:rFonts w:hint="default"/>
        <w:lang w:val="id" w:eastAsia="en-US" w:bidi="ar-SA"/>
      </w:rPr>
    </w:lvl>
    <w:lvl w:ilvl="1">
      <w:start w:val="1"/>
      <w:numFmt w:val="decimal"/>
      <w:lvlText w:val="%1.%2"/>
      <w:lvlJc w:val="left"/>
      <w:pPr>
        <w:ind w:left="2147" w:hanging="428"/>
        <w:jc w:val="left"/>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3576" w:hanging="428"/>
      </w:pPr>
      <w:rPr>
        <w:rFonts w:hint="default"/>
        <w:lang w:val="id" w:eastAsia="en-US" w:bidi="ar-SA"/>
      </w:rPr>
    </w:lvl>
    <w:lvl w:ilvl="3">
      <w:start w:val="0"/>
      <w:numFmt w:val="bullet"/>
      <w:lvlText w:val="•"/>
      <w:lvlJc w:val="left"/>
      <w:pPr>
        <w:ind w:left="4295" w:hanging="428"/>
      </w:pPr>
      <w:rPr>
        <w:rFonts w:hint="default"/>
        <w:lang w:val="id" w:eastAsia="en-US" w:bidi="ar-SA"/>
      </w:rPr>
    </w:lvl>
    <w:lvl w:ilvl="4">
      <w:start w:val="0"/>
      <w:numFmt w:val="bullet"/>
      <w:lvlText w:val="•"/>
      <w:lvlJc w:val="left"/>
      <w:pPr>
        <w:ind w:left="5013" w:hanging="428"/>
      </w:pPr>
      <w:rPr>
        <w:rFonts w:hint="default"/>
        <w:lang w:val="id" w:eastAsia="en-US" w:bidi="ar-SA"/>
      </w:rPr>
    </w:lvl>
    <w:lvl w:ilvl="5">
      <w:start w:val="0"/>
      <w:numFmt w:val="bullet"/>
      <w:lvlText w:val="•"/>
      <w:lvlJc w:val="left"/>
      <w:pPr>
        <w:ind w:left="5732" w:hanging="428"/>
      </w:pPr>
      <w:rPr>
        <w:rFonts w:hint="default"/>
        <w:lang w:val="id" w:eastAsia="en-US" w:bidi="ar-SA"/>
      </w:rPr>
    </w:lvl>
    <w:lvl w:ilvl="6">
      <w:start w:val="0"/>
      <w:numFmt w:val="bullet"/>
      <w:lvlText w:val="•"/>
      <w:lvlJc w:val="left"/>
      <w:pPr>
        <w:ind w:left="6450" w:hanging="428"/>
      </w:pPr>
      <w:rPr>
        <w:rFonts w:hint="default"/>
        <w:lang w:val="id" w:eastAsia="en-US" w:bidi="ar-SA"/>
      </w:rPr>
    </w:lvl>
    <w:lvl w:ilvl="7">
      <w:start w:val="0"/>
      <w:numFmt w:val="bullet"/>
      <w:lvlText w:val="•"/>
      <w:lvlJc w:val="left"/>
      <w:pPr>
        <w:ind w:left="7168" w:hanging="428"/>
      </w:pPr>
      <w:rPr>
        <w:rFonts w:hint="default"/>
        <w:lang w:val="id" w:eastAsia="en-US" w:bidi="ar-SA"/>
      </w:rPr>
    </w:lvl>
    <w:lvl w:ilvl="8">
      <w:start w:val="0"/>
      <w:numFmt w:val="bullet"/>
      <w:lvlText w:val="•"/>
      <w:lvlJc w:val="left"/>
      <w:pPr>
        <w:ind w:left="7887" w:hanging="428"/>
      </w:pPr>
      <w:rPr>
        <w:rFonts w:hint="default"/>
        <w:lang w:val="id" w:eastAsia="en-US" w:bidi="ar-SA"/>
      </w:rPr>
    </w:lvl>
  </w:abstractNum>
  <w:abstractNum w:abstractNumId="3">
    <w:multiLevelType w:val="hybridMultilevel"/>
    <w:lvl w:ilvl="0">
      <w:start w:val="4"/>
      <w:numFmt w:val="decimal"/>
      <w:lvlText w:val="%1"/>
      <w:lvlJc w:val="left"/>
      <w:pPr>
        <w:ind w:left="2079" w:hanging="360"/>
        <w:jc w:val="left"/>
      </w:pPr>
      <w:rPr>
        <w:rFonts w:hint="default"/>
        <w:lang w:val="id" w:eastAsia="en-US" w:bidi="ar-SA"/>
      </w:rPr>
    </w:lvl>
    <w:lvl w:ilvl="1">
      <w:start w:val="1"/>
      <w:numFmt w:val="decimal"/>
      <w:lvlText w:val="%1.%2"/>
      <w:lvlJc w:val="left"/>
      <w:pPr>
        <w:ind w:left="2079" w:hanging="360"/>
        <w:jc w:val="left"/>
      </w:pPr>
      <w:rPr>
        <w:rFonts w:hint="default" w:ascii="Times New Roman" w:hAnsi="Times New Roman" w:eastAsia="Times New Roman" w:cs="Times New Roman"/>
        <w:w w:val="100"/>
        <w:sz w:val="24"/>
        <w:szCs w:val="24"/>
        <w:lang w:val="id" w:eastAsia="en-US" w:bidi="ar-SA"/>
      </w:rPr>
    </w:lvl>
    <w:lvl w:ilvl="2">
      <w:start w:val="1"/>
      <w:numFmt w:val="decimal"/>
      <w:lvlText w:val="%1.%2.%3"/>
      <w:lvlJc w:val="left"/>
      <w:pPr>
        <w:ind w:left="2574" w:hanging="572"/>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4078" w:hanging="572"/>
      </w:pPr>
      <w:rPr>
        <w:rFonts w:hint="default"/>
        <w:lang w:val="id" w:eastAsia="en-US" w:bidi="ar-SA"/>
      </w:rPr>
    </w:lvl>
    <w:lvl w:ilvl="4">
      <w:start w:val="0"/>
      <w:numFmt w:val="bullet"/>
      <w:lvlText w:val="•"/>
      <w:lvlJc w:val="left"/>
      <w:pPr>
        <w:ind w:left="4828" w:hanging="572"/>
      </w:pPr>
      <w:rPr>
        <w:rFonts w:hint="default"/>
        <w:lang w:val="id" w:eastAsia="en-US" w:bidi="ar-SA"/>
      </w:rPr>
    </w:lvl>
    <w:lvl w:ilvl="5">
      <w:start w:val="0"/>
      <w:numFmt w:val="bullet"/>
      <w:lvlText w:val="•"/>
      <w:lvlJc w:val="left"/>
      <w:pPr>
        <w:ind w:left="5577" w:hanging="572"/>
      </w:pPr>
      <w:rPr>
        <w:rFonts w:hint="default"/>
        <w:lang w:val="id" w:eastAsia="en-US" w:bidi="ar-SA"/>
      </w:rPr>
    </w:lvl>
    <w:lvl w:ilvl="6">
      <w:start w:val="0"/>
      <w:numFmt w:val="bullet"/>
      <w:lvlText w:val="•"/>
      <w:lvlJc w:val="left"/>
      <w:pPr>
        <w:ind w:left="6326" w:hanging="572"/>
      </w:pPr>
      <w:rPr>
        <w:rFonts w:hint="default"/>
        <w:lang w:val="id" w:eastAsia="en-US" w:bidi="ar-SA"/>
      </w:rPr>
    </w:lvl>
    <w:lvl w:ilvl="7">
      <w:start w:val="0"/>
      <w:numFmt w:val="bullet"/>
      <w:lvlText w:val="•"/>
      <w:lvlJc w:val="left"/>
      <w:pPr>
        <w:ind w:left="7076" w:hanging="572"/>
      </w:pPr>
      <w:rPr>
        <w:rFonts w:hint="default"/>
        <w:lang w:val="id" w:eastAsia="en-US" w:bidi="ar-SA"/>
      </w:rPr>
    </w:lvl>
    <w:lvl w:ilvl="8">
      <w:start w:val="0"/>
      <w:numFmt w:val="bullet"/>
      <w:lvlText w:val="•"/>
      <w:lvlJc w:val="left"/>
      <w:pPr>
        <w:ind w:left="7825" w:hanging="572"/>
      </w:pPr>
      <w:rPr>
        <w:rFonts w:hint="default"/>
        <w:lang w:val="id" w:eastAsia="en-US" w:bidi="ar-SA"/>
      </w:rPr>
    </w:lvl>
  </w:abstractNum>
  <w:abstractNum w:abstractNumId="2">
    <w:multiLevelType w:val="hybridMultilevel"/>
    <w:lvl w:ilvl="0">
      <w:start w:val="3"/>
      <w:numFmt w:val="decimal"/>
      <w:lvlText w:val="%1"/>
      <w:lvlJc w:val="left"/>
      <w:pPr>
        <w:ind w:left="1944" w:hanging="446"/>
        <w:jc w:val="left"/>
      </w:pPr>
      <w:rPr>
        <w:rFonts w:hint="default"/>
        <w:lang w:val="id" w:eastAsia="en-US" w:bidi="ar-SA"/>
      </w:rPr>
    </w:lvl>
    <w:lvl w:ilvl="1">
      <w:start w:val="1"/>
      <w:numFmt w:val="decimal"/>
      <w:lvlText w:val="%1.%2."/>
      <w:lvlJc w:val="left"/>
      <w:pPr>
        <w:ind w:left="1944" w:hanging="446"/>
        <w:jc w:val="left"/>
      </w:pPr>
      <w:rPr>
        <w:rFonts w:hint="default" w:ascii="Times New Roman" w:hAnsi="Times New Roman" w:eastAsia="Times New Roman" w:cs="Times New Roman"/>
        <w:w w:val="100"/>
        <w:sz w:val="22"/>
        <w:szCs w:val="22"/>
        <w:lang w:val="id" w:eastAsia="en-US" w:bidi="ar-SA"/>
      </w:rPr>
    </w:lvl>
    <w:lvl w:ilvl="2">
      <w:start w:val="1"/>
      <w:numFmt w:val="decimal"/>
      <w:lvlText w:val="%1.%2.%3"/>
      <w:lvlJc w:val="left"/>
      <w:pPr>
        <w:ind w:left="2545" w:hanging="543"/>
        <w:jc w:val="left"/>
      </w:pPr>
      <w:rPr>
        <w:rFonts w:hint="default" w:ascii="Times New Roman" w:hAnsi="Times New Roman" w:eastAsia="Times New Roman" w:cs="Times New Roman"/>
        <w:w w:val="100"/>
        <w:sz w:val="24"/>
        <w:szCs w:val="24"/>
        <w:lang w:val="id" w:eastAsia="en-US" w:bidi="ar-SA"/>
      </w:rPr>
    </w:lvl>
    <w:lvl w:ilvl="3">
      <w:start w:val="1"/>
      <w:numFmt w:val="decimal"/>
      <w:lvlText w:val="%1.%2.%3.%4"/>
      <w:lvlJc w:val="left"/>
      <w:pPr>
        <w:ind w:left="3298" w:hanging="724"/>
        <w:jc w:val="left"/>
      </w:pPr>
      <w:rPr>
        <w:rFonts w:hint="default" w:ascii="Times New Roman" w:hAnsi="Times New Roman" w:eastAsia="Times New Roman" w:cs="Times New Roman"/>
        <w:spacing w:val="-5"/>
        <w:w w:val="100"/>
        <w:sz w:val="24"/>
        <w:szCs w:val="24"/>
        <w:lang w:val="id" w:eastAsia="en-US" w:bidi="ar-SA"/>
      </w:rPr>
    </w:lvl>
    <w:lvl w:ilvl="4">
      <w:start w:val="0"/>
      <w:numFmt w:val="bullet"/>
      <w:lvlText w:val="•"/>
      <w:lvlJc w:val="left"/>
      <w:pPr>
        <w:ind w:left="4806" w:hanging="724"/>
      </w:pPr>
      <w:rPr>
        <w:rFonts w:hint="default"/>
        <w:lang w:val="id" w:eastAsia="en-US" w:bidi="ar-SA"/>
      </w:rPr>
    </w:lvl>
    <w:lvl w:ilvl="5">
      <w:start w:val="0"/>
      <w:numFmt w:val="bullet"/>
      <w:lvlText w:val="•"/>
      <w:lvlJc w:val="left"/>
      <w:pPr>
        <w:ind w:left="5559" w:hanging="724"/>
      </w:pPr>
      <w:rPr>
        <w:rFonts w:hint="default"/>
        <w:lang w:val="id" w:eastAsia="en-US" w:bidi="ar-SA"/>
      </w:rPr>
    </w:lvl>
    <w:lvl w:ilvl="6">
      <w:start w:val="0"/>
      <w:numFmt w:val="bullet"/>
      <w:lvlText w:val="•"/>
      <w:lvlJc w:val="left"/>
      <w:pPr>
        <w:ind w:left="6312" w:hanging="724"/>
      </w:pPr>
      <w:rPr>
        <w:rFonts w:hint="default"/>
        <w:lang w:val="id" w:eastAsia="en-US" w:bidi="ar-SA"/>
      </w:rPr>
    </w:lvl>
    <w:lvl w:ilvl="7">
      <w:start w:val="0"/>
      <w:numFmt w:val="bullet"/>
      <w:lvlText w:val="•"/>
      <w:lvlJc w:val="left"/>
      <w:pPr>
        <w:ind w:left="7065" w:hanging="724"/>
      </w:pPr>
      <w:rPr>
        <w:rFonts w:hint="default"/>
        <w:lang w:val="id" w:eastAsia="en-US" w:bidi="ar-SA"/>
      </w:rPr>
    </w:lvl>
    <w:lvl w:ilvl="8">
      <w:start w:val="0"/>
      <w:numFmt w:val="bullet"/>
      <w:lvlText w:val="•"/>
      <w:lvlJc w:val="left"/>
      <w:pPr>
        <w:ind w:left="7818" w:hanging="724"/>
      </w:pPr>
      <w:rPr>
        <w:rFonts w:hint="default"/>
        <w:lang w:val="id" w:eastAsia="en-US" w:bidi="ar-SA"/>
      </w:rPr>
    </w:lvl>
  </w:abstractNum>
  <w:abstractNum w:abstractNumId="1">
    <w:multiLevelType w:val="hybridMultilevel"/>
    <w:lvl w:ilvl="0">
      <w:start w:val="2"/>
      <w:numFmt w:val="decimal"/>
      <w:lvlText w:val="%1"/>
      <w:lvlJc w:val="left"/>
      <w:pPr>
        <w:ind w:left="1911" w:hanging="423"/>
        <w:jc w:val="left"/>
      </w:pPr>
      <w:rPr>
        <w:rFonts w:hint="default"/>
        <w:lang w:val="id" w:eastAsia="en-US" w:bidi="ar-SA"/>
      </w:rPr>
    </w:lvl>
    <w:lvl w:ilvl="1">
      <w:start w:val="1"/>
      <w:numFmt w:val="decimal"/>
      <w:lvlText w:val="%1.%2."/>
      <w:lvlJc w:val="left"/>
      <w:pPr>
        <w:ind w:left="1911" w:hanging="423"/>
        <w:jc w:val="left"/>
      </w:pPr>
      <w:rPr>
        <w:rFonts w:hint="default" w:ascii="Times New Roman" w:hAnsi="Times New Roman" w:eastAsia="Times New Roman" w:cs="Times New Roman"/>
        <w:spacing w:val="-6"/>
        <w:w w:val="99"/>
        <w:sz w:val="24"/>
        <w:szCs w:val="24"/>
        <w:lang w:val="id" w:eastAsia="en-US" w:bidi="ar-SA"/>
      </w:rPr>
    </w:lvl>
    <w:lvl w:ilvl="2">
      <w:start w:val="1"/>
      <w:numFmt w:val="decimal"/>
      <w:lvlText w:val="%1.%2.%3"/>
      <w:lvlJc w:val="left"/>
      <w:pPr>
        <w:ind w:left="2406" w:hanging="543"/>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938" w:hanging="543"/>
      </w:pPr>
      <w:rPr>
        <w:rFonts w:hint="default"/>
        <w:lang w:val="id" w:eastAsia="en-US" w:bidi="ar-SA"/>
      </w:rPr>
    </w:lvl>
    <w:lvl w:ilvl="4">
      <w:start w:val="0"/>
      <w:numFmt w:val="bullet"/>
      <w:lvlText w:val="•"/>
      <w:lvlJc w:val="left"/>
      <w:pPr>
        <w:ind w:left="4708" w:hanging="543"/>
      </w:pPr>
      <w:rPr>
        <w:rFonts w:hint="default"/>
        <w:lang w:val="id" w:eastAsia="en-US" w:bidi="ar-SA"/>
      </w:rPr>
    </w:lvl>
    <w:lvl w:ilvl="5">
      <w:start w:val="0"/>
      <w:numFmt w:val="bullet"/>
      <w:lvlText w:val="•"/>
      <w:lvlJc w:val="left"/>
      <w:pPr>
        <w:ind w:left="5477" w:hanging="543"/>
      </w:pPr>
      <w:rPr>
        <w:rFonts w:hint="default"/>
        <w:lang w:val="id" w:eastAsia="en-US" w:bidi="ar-SA"/>
      </w:rPr>
    </w:lvl>
    <w:lvl w:ilvl="6">
      <w:start w:val="0"/>
      <w:numFmt w:val="bullet"/>
      <w:lvlText w:val="•"/>
      <w:lvlJc w:val="left"/>
      <w:pPr>
        <w:ind w:left="6246" w:hanging="543"/>
      </w:pPr>
      <w:rPr>
        <w:rFonts w:hint="default"/>
        <w:lang w:val="id" w:eastAsia="en-US" w:bidi="ar-SA"/>
      </w:rPr>
    </w:lvl>
    <w:lvl w:ilvl="7">
      <w:start w:val="0"/>
      <w:numFmt w:val="bullet"/>
      <w:lvlText w:val="•"/>
      <w:lvlJc w:val="left"/>
      <w:pPr>
        <w:ind w:left="7016" w:hanging="543"/>
      </w:pPr>
      <w:rPr>
        <w:rFonts w:hint="default"/>
        <w:lang w:val="id" w:eastAsia="en-US" w:bidi="ar-SA"/>
      </w:rPr>
    </w:lvl>
    <w:lvl w:ilvl="8">
      <w:start w:val="0"/>
      <w:numFmt w:val="bullet"/>
      <w:lvlText w:val="•"/>
      <w:lvlJc w:val="left"/>
      <w:pPr>
        <w:ind w:left="7785" w:hanging="543"/>
      </w:pPr>
      <w:rPr>
        <w:rFonts w:hint="default"/>
        <w:lang w:val="id" w:eastAsia="en-US" w:bidi="ar-SA"/>
      </w:rPr>
    </w:lvl>
  </w:abstractNum>
  <w:abstractNum w:abstractNumId="0">
    <w:multiLevelType w:val="hybridMultilevel"/>
    <w:lvl w:ilvl="0">
      <w:start w:val="1"/>
      <w:numFmt w:val="decimal"/>
      <w:lvlText w:val="%1"/>
      <w:lvlJc w:val="left"/>
      <w:pPr>
        <w:ind w:left="1801" w:hanging="365"/>
        <w:jc w:val="left"/>
      </w:pPr>
      <w:rPr>
        <w:rFonts w:hint="default"/>
        <w:lang w:val="id" w:eastAsia="en-US" w:bidi="ar-SA"/>
      </w:rPr>
    </w:lvl>
    <w:lvl w:ilvl="1">
      <w:start w:val="1"/>
      <w:numFmt w:val="decimal"/>
      <w:lvlText w:val="%1.%2"/>
      <w:lvlJc w:val="left"/>
      <w:pPr>
        <w:ind w:left="1801" w:hanging="365"/>
        <w:jc w:val="left"/>
      </w:pPr>
      <w:rPr>
        <w:rFonts w:hint="default" w:ascii="Times New Roman" w:hAnsi="Times New Roman" w:eastAsia="Times New Roman" w:cs="Times New Roman"/>
        <w:w w:val="100"/>
        <w:sz w:val="24"/>
        <w:szCs w:val="24"/>
        <w:lang w:val="id" w:eastAsia="en-US" w:bidi="ar-SA"/>
      </w:rPr>
    </w:lvl>
    <w:lvl w:ilvl="2">
      <w:start w:val="1"/>
      <w:numFmt w:val="decimal"/>
      <w:lvlText w:val="%1.%2.%3"/>
      <w:lvlJc w:val="left"/>
      <w:pPr>
        <w:ind w:left="2338" w:hanging="537"/>
        <w:jc w:val="left"/>
      </w:pPr>
      <w:rPr>
        <w:rFonts w:hint="default" w:ascii="Times New Roman" w:hAnsi="Times New Roman" w:eastAsia="Times New Roman" w:cs="Times New Roman"/>
        <w:spacing w:val="-5"/>
        <w:w w:val="100"/>
        <w:sz w:val="24"/>
        <w:szCs w:val="24"/>
        <w:lang w:val="id" w:eastAsia="en-US" w:bidi="ar-SA"/>
      </w:rPr>
    </w:lvl>
    <w:lvl w:ilvl="3">
      <w:start w:val="0"/>
      <w:numFmt w:val="bullet"/>
      <w:lvlText w:val="•"/>
      <w:lvlJc w:val="left"/>
      <w:pPr>
        <w:ind w:left="3892" w:hanging="537"/>
      </w:pPr>
      <w:rPr>
        <w:rFonts w:hint="default"/>
        <w:lang w:val="id" w:eastAsia="en-US" w:bidi="ar-SA"/>
      </w:rPr>
    </w:lvl>
    <w:lvl w:ilvl="4">
      <w:start w:val="0"/>
      <w:numFmt w:val="bullet"/>
      <w:lvlText w:val="•"/>
      <w:lvlJc w:val="left"/>
      <w:pPr>
        <w:ind w:left="4668" w:hanging="537"/>
      </w:pPr>
      <w:rPr>
        <w:rFonts w:hint="default"/>
        <w:lang w:val="id" w:eastAsia="en-US" w:bidi="ar-SA"/>
      </w:rPr>
    </w:lvl>
    <w:lvl w:ilvl="5">
      <w:start w:val="0"/>
      <w:numFmt w:val="bullet"/>
      <w:lvlText w:val="•"/>
      <w:lvlJc w:val="left"/>
      <w:pPr>
        <w:ind w:left="5444" w:hanging="537"/>
      </w:pPr>
      <w:rPr>
        <w:rFonts w:hint="default"/>
        <w:lang w:val="id" w:eastAsia="en-US" w:bidi="ar-SA"/>
      </w:rPr>
    </w:lvl>
    <w:lvl w:ilvl="6">
      <w:start w:val="0"/>
      <w:numFmt w:val="bullet"/>
      <w:lvlText w:val="•"/>
      <w:lvlJc w:val="left"/>
      <w:pPr>
        <w:ind w:left="6220" w:hanging="537"/>
      </w:pPr>
      <w:rPr>
        <w:rFonts w:hint="default"/>
        <w:lang w:val="id" w:eastAsia="en-US" w:bidi="ar-SA"/>
      </w:rPr>
    </w:lvl>
    <w:lvl w:ilvl="7">
      <w:start w:val="0"/>
      <w:numFmt w:val="bullet"/>
      <w:lvlText w:val="•"/>
      <w:lvlJc w:val="left"/>
      <w:pPr>
        <w:ind w:left="6996" w:hanging="537"/>
      </w:pPr>
      <w:rPr>
        <w:rFonts w:hint="default"/>
        <w:lang w:val="id" w:eastAsia="en-US" w:bidi="ar-SA"/>
      </w:rPr>
    </w:lvl>
    <w:lvl w:ilvl="8">
      <w:start w:val="0"/>
      <w:numFmt w:val="bullet"/>
      <w:lvlText w:val="•"/>
      <w:lvlJc w:val="left"/>
      <w:pPr>
        <w:ind w:left="7772" w:hanging="537"/>
      </w:pPr>
      <w:rPr>
        <w:rFonts w:hint="default"/>
        <w:lang w:val="id" w:eastAsia="en-US" w:bidi="ar-SA"/>
      </w:rPr>
    </w:lvl>
  </w:abstractNum>
  <w:num w:numId="34">
    <w:abstractNumId w:val="33"/>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7"/>
      <w:ind w:left="586"/>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37"/>
      <w:ind w:left="1859" w:hanging="423"/>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170"/>
      <w:ind w:left="1944" w:hanging="500"/>
    </w:pPr>
    <w:rPr>
      <w:rFonts w:ascii="Times New Roman" w:hAnsi="Times New Roman" w:eastAsia="Times New Roman" w:cs="Times New Roman"/>
      <w:sz w:val="22"/>
      <w:szCs w:val="22"/>
      <w:lang w:val="id" w:eastAsia="en-US" w:bidi="ar-SA"/>
    </w:rPr>
  </w:style>
  <w:style w:styleId="TOC4" w:type="paragraph">
    <w:name w:val="TOC 4"/>
    <w:basedOn w:val="Normal"/>
    <w:uiPriority w:val="1"/>
    <w:qFormat/>
    <w:pPr>
      <w:spacing w:before="137"/>
      <w:ind w:left="2079" w:hanging="428"/>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137"/>
      <w:ind w:left="2406" w:hanging="544"/>
    </w:pPr>
    <w:rPr>
      <w:rFonts w:ascii="Times New Roman" w:hAnsi="Times New Roman" w:eastAsia="Times New Roman" w:cs="Times New Roman"/>
      <w:sz w:val="24"/>
      <w:szCs w:val="24"/>
      <w:lang w:val="id" w:eastAsia="en-US" w:bidi="ar-SA"/>
    </w:rPr>
  </w:style>
  <w:style w:styleId="TOC6" w:type="paragraph">
    <w:name w:val="TOC 6"/>
    <w:basedOn w:val="Normal"/>
    <w:uiPriority w:val="1"/>
    <w:qFormat/>
    <w:pPr>
      <w:spacing w:before="137"/>
      <w:ind w:left="2545" w:hanging="543"/>
    </w:pPr>
    <w:rPr>
      <w:rFonts w:ascii="Times New Roman" w:hAnsi="Times New Roman" w:eastAsia="Times New Roman" w:cs="Times New Roman"/>
      <w:sz w:val="24"/>
      <w:szCs w:val="24"/>
      <w:lang w:val="id" w:eastAsia="en-US" w:bidi="ar-SA"/>
    </w:rPr>
  </w:style>
  <w:style w:styleId="TOC7" w:type="paragraph">
    <w:name w:val="TOC 7"/>
    <w:basedOn w:val="Normal"/>
    <w:uiPriority w:val="1"/>
    <w:qFormat/>
    <w:pPr>
      <w:spacing w:before="136"/>
      <w:ind w:left="3298" w:hanging="725"/>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203"/>
      <w:ind w:left="1042"/>
      <w:outlineLvl w:val="1"/>
    </w:pPr>
    <w:rPr>
      <w:rFonts w:ascii="Arial" w:hAnsi="Arial" w:eastAsia="Arial" w:cs="Arial"/>
      <w:sz w:val="38"/>
      <w:szCs w:val="38"/>
      <w:lang w:val="id" w:eastAsia="en-US" w:bidi="ar-SA"/>
    </w:rPr>
  </w:style>
  <w:style w:styleId="Heading2" w:type="paragraph">
    <w:name w:val="Heading 2"/>
    <w:basedOn w:val="Normal"/>
    <w:uiPriority w:val="1"/>
    <w:qFormat/>
    <w:pPr>
      <w:ind w:left="1028" w:right="1237"/>
      <w:jc w:val="center"/>
      <w:outlineLvl w:val="2"/>
    </w:pPr>
    <w:rPr>
      <w:rFonts w:ascii="Times New Roman" w:hAnsi="Times New Roman" w:eastAsia="Times New Roman" w:cs="Times New Roman"/>
      <w:b/>
      <w:bCs/>
      <w:sz w:val="28"/>
      <w:szCs w:val="28"/>
      <w:lang w:val="id" w:eastAsia="en-US" w:bidi="ar-SA"/>
    </w:rPr>
  </w:style>
  <w:style w:styleId="Heading3" w:type="paragraph">
    <w:name w:val="Heading 3"/>
    <w:basedOn w:val="Normal"/>
    <w:uiPriority w:val="1"/>
    <w:qFormat/>
    <w:pPr>
      <w:ind w:left="1153" w:hanging="567"/>
      <w:jc w:val="both"/>
      <w:outlineLvl w:val="3"/>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153" w:hanging="567"/>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line="266" w:lineRule="exact"/>
      <w:jc w:val="righ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hyperlink" Target="http://www.idx.co.id/" TargetMode="Externa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6.jpeg"/><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footer" Target="footer13.xml"/><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image" Target="media/image9.jpeg"/><Relationship Id="rId30" Type="http://schemas.openxmlformats.org/officeDocument/2006/relationships/image" Target="media/image10.jpeg"/><Relationship Id="rId31" Type="http://schemas.openxmlformats.org/officeDocument/2006/relationships/footer" Target="footer16.xml"/><Relationship Id="rId32" Type="http://schemas.openxmlformats.org/officeDocument/2006/relationships/image" Target="media/image11.jpeg"/><Relationship Id="rId33" Type="http://schemas.openxmlformats.org/officeDocument/2006/relationships/image" Target="media/image12.jpeg"/><Relationship Id="rId34" Type="http://schemas.openxmlformats.org/officeDocument/2006/relationships/footer" Target="footer17.xml"/><Relationship Id="rId35" Type="http://schemas.openxmlformats.org/officeDocument/2006/relationships/hyperlink" Target="http://www.scribd.com/" TargetMode="External"/><Relationship Id="rId36" Type="http://schemas.openxmlformats.org/officeDocument/2006/relationships/footer" Target="footer18.xml"/><Relationship Id="rId37" Type="http://schemas.openxmlformats.org/officeDocument/2006/relationships/footer" Target="footer19.xml"/><Relationship Id="rId38" Type="http://schemas.openxmlformats.org/officeDocument/2006/relationships/hyperlink" Target="http://www.ejournal.pelitaindonesia.ac.id/" TargetMode="External"/><Relationship Id="rId39" Type="http://schemas.openxmlformats.org/officeDocument/2006/relationships/footer" Target="footer20.xml"/><Relationship Id="rId40" Type="http://schemas.openxmlformats.org/officeDocument/2006/relationships/footer" Target="footer21.xml"/><Relationship Id="rId41" Type="http://schemas.openxmlformats.org/officeDocument/2006/relationships/footer" Target="footer22.xml"/><Relationship Id="rId42" Type="http://schemas.openxmlformats.org/officeDocument/2006/relationships/image" Target="media/image13.jpeg"/><Relationship Id="rId43" Type="http://schemas.openxmlformats.org/officeDocument/2006/relationships/hyperlink" Target="mailto:susilviaindrarani22@gmail.com" TargetMode="External"/><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2020-06-03T06:28:03Z</dcterms:created>
  <dcterms:modified xsi:type="dcterms:W3CDTF">2020-06-03T06:28:03Z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2020-06-03T00:00:00Z</vt:filetime>
  </property>
</Properties>
</file>